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7BA5C" w14:textId="77777777" w:rsidR="00AE46A5" w:rsidRPr="001E3F46" w:rsidRDefault="001E3F46">
      <w:pPr>
        <w:pStyle w:val="Header"/>
        <w:jc w:val="center"/>
        <w:rPr>
          <w:b/>
          <w:bCs/>
          <w:color w:val="000080"/>
          <w:sz w:val="48"/>
          <w:szCs w:val="48"/>
          <w:lang w:val="en-GB"/>
        </w:rPr>
      </w:pPr>
      <w:r w:rsidRPr="001E3F46">
        <w:rPr>
          <w:b/>
          <w:bCs/>
          <w:color w:val="000080"/>
          <w:sz w:val="48"/>
          <w:szCs w:val="48"/>
          <w:lang w:val="en-GB"/>
        </w:rPr>
        <w:t>David Currie</w:t>
      </w:r>
    </w:p>
    <w:p w14:paraId="76355853" w14:textId="2D4EDC5F" w:rsidR="006D6566" w:rsidRDefault="006D6566">
      <w:pPr>
        <w:pStyle w:val="Header"/>
        <w:jc w:val="center"/>
        <w:rPr>
          <w:b/>
          <w:bCs/>
          <w:color w:val="000080"/>
          <w:sz w:val="40"/>
          <w:lang w:val="en-GB"/>
        </w:rPr>
      </w:pPr>
      <w:r>
        <w:rPr>
          <w:b/>
          <w:bCs/>
          <w:color w:val="000080"/>
          <w:sz w:val="28"/>
          <w:lang w:val="en-GB"/>
        </w:rPr>
        <w:t>Barrister</w:t>
      </w:r>
      <w:r w:rsidR="00D12EC6">
        <w:rPr>
          <w:b/>
          <w:bCs/>
          <w:color w:val="000080"/>
          <w:sz w:val="28"/>
          <w:lang w:val="en-GB"/>
        </w:rPr>
        <w:t xml:space="preserve"> &amp; Mediator (NMAS Accredited)</w:t>
      </w:r>
    </w:p>
    <w:p w14:paraId="778A608F" w14:textId="77777777" w:rsidR="00AE46A5" w:rsidRDefault="001E3F46">
      <w:pPr>
        <w:ind w:left="20"/>
        <w:jc w:val="center"/>
        <w:rPr>
          <w:b/>
          <w:bCs/>
          <w:color w:val="000080"/>
          <w:sz w:val="28"/>
          <w:lang w:val="en-GB"/>
        </w:rPr>
      </w:pPr>
      <w:r>
        <w:rPr>
          <w:b/>
          <w:bCs/>
          <w:color w:val="000080"/>
          <w:sz w:val="28"/>
          <w:lang w:val="en-GB"/>
        </w:rPr>
        <w:t>4</w:t>
      </w:r>
      <w:r w:rsidRPr="001E3F46">
        <w:rPr>
          <w:b/>
          <w:bCs/>
          <w:color w:val="000080"/>
          <w:sz w:val="28"/>
          <w:vertAlign w:val="superscript"/>
          <w:lang w:val="en-GB"/>
        </w:rPr>
        <w:t>th</w:t>
      </w:r>
      <w:r>
        <w:rPr>
          <w:b/>
          <w:bCs/>
          <w:color w:val="000080"/>
          <w:sz w:val="28"/>
          <w:lang w:val="en-GB"/>
        </w:rPr>
        <w:t xml:space="preserve"> Floor Selborne Chambers</w:t>
      </w:r>
    </w:p>
    <w:p w14:paraId="12A74A42" w14:textId="77777777" w:rsidR="001E3F46" w:rsidRDefault="001E3F46">
      <w:pPr>
        <w:ind w:left="20"/>
        <w:jc w:val="center"/>
        <w:rPr>
          <w:b/>
          <w:bCs/>
          <w:sz w:val="22"/>
          <w:szCs w:val="22"/>
          <w:lang w:val="en-GB"/>
        </w:rPr>
      </w:pPr>
    </w:p>
    <w:p w14:paraId="36D886A4" w14:textId="77777777" w:rsidR="001E3F46" w:rsidRPr="001E3F46" w:rsidRDefault="001E3F46">
      <w:pPr>
        <w:ind w:left="20"/>
        <w:jc w:val="center"/>
        <w:rPr>
          <w:b/>
          <w:bCs/>
          <w:sz w:val="22"/>
          <w:szCs w:val="22"/>
          <w:lang w:val="en-GB"/>
        </w:rPr>
      </w:pPr>
      <w:r w:rsidRPr="001E3F46">
        <w:rPr>
          <w:b/>
          <w:bCs/>
          <w:sz w:val="22"/>
          <w:szCs w:val="22"/>
          <w:lang w:val="en-GB"/>
        </w:rPr>
        <w:t>Level 4, 174 Phillip Street, SYDNEY NSW 2000</w:t>
      </w:r>
    </w:p>
    <w:p w14:paraId="1DCA7968" w14:textId="77777777" w:rsidR="00D12EC6" w:rsidRDefault="001E3F46">
      <w:pPr>
        <w:ind w:left="20"/>
        <w:jc w:val="center"/>
        <w:rPr>
          <w:b/>
          <w:bCs/>
          <w:sz w:val="22"/>
          <w:szCs w:val="22"/>
          <w:lang w:val="en-GB"/>
        </w:rPr>
      </w:pPr>
      <w:r w:rsidRPr="001E3F46">
        <w:rPr>
          <w:b/>
          <w:bCs/>
          <w:sz w:val="22"/>
          <w:szCs w:val="22"/>
          <w:lang w:val="en-GB"/>
        </w:rPr>
        <w:t xml:space="preserve">Tel: </w:t>
      </w:r>
      <w:r w:rsidR="00D12EC6">
        <w:rPr>
          <w:b/>
          <w:bCs/>
          <w:sz w:val="22"/>
          <w:szCs w:val="22"/>
          <w:lang w:val="en-GB"/>
        </w:rPr>
        <w:t xml:space="preserve">(02) </w:t>
      </w:r>
      <w:r w:rsidRPr="001E3F46">
        <w:rPr>
          <w:b/>
          <w:bCs/>
          <w:sz w:val="22"/>
          <w:szCs w:val="22"/>
          <w:lang w:val="en-GB"/>
        </w:rPr>
        <w:t xml:space="preserve">9236 4938 </w:t>
      </w:r>
    </w:p>
    <w:p w14:paraId="2BB2120D" w14:textId="3309E607" w:rsidR="001E3F46" w:rsidRDefault="001E3F46">
      <w:pPr>
        <w:ind w:left="20"/>
        <w:jc w:val="center"/>
        <w:rPr>
          <w:b/>
          <w:bCs/>
          <w:sz w:val="22"/>
          <w:szCs w:val="22"/>
          <w:lang w:val="en-GB"/>
        </w:rPr>
      </w:pPr>
      <w:r w:rsidRPr="001E3F46">
        <w:rPr>
          <w:b/>
          <w:bCs/>
          <w:sz w:val="22"/>
          <w:szCs w:val="22"/>
          <w:lang w:val="en-GB"/>
        </w:rPr>
        <w:t xml:space="preserve">Mob: </w:t>
      </w:r>
      <w:r w:rsidR="00D12EC6">
        <w:rPr>
          <w:b/>
          <w:bCs/>
          <w:sz w:val="22"/>
          <w:szCs w:val="22"/>
          <w:lang w:val="en-GB"/>
        </w:rPr>
        <w:t>0</w:t>
      </w:r>
      <w:r w:rsidRPr="001E3F46">
        <w:rPr>
          <w:b/>
          <w:bCs/>
          <w:sz w:val="22"/>
          <w:szCs w:val="22"/>
          <w:lang w:val="en-GB"/>
        </w:rPr>
        <w:t xml:space="preserve">411 434 266 </w:t>
      </w:r>
    </w:p>
    <w:p w14:paraId="696B59B5" w14:textId="77777777" w:rsidR="00176C0D" w:rsidRDefault="00176C0D">
      <w:pPr>
        <w:ind w:left="20"/>
        <w:jc w:val="center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DX 531 SYDNEY</w:t>
      </w:r>
    </w:p>
    <w:p w14:paraId="565D5E8D" w14:textId="77777777" w:rsidR="001E3F46" w:rsidRPr="00171108" w:rsidRDefault="001E3F46" w:rsidP="00171108">
      <w:pPr>
        <w:ind w:left="20"/>
        <w:jc w:val="center"/>
        <w:rPr>
          <w:bCs/>
          <w:sz w:val="20"/>
          <w:lang w:val="en-GB"/>
        </w:rPr>
      </w:pPr>
      <w:r w:rsidRPr="00171108">
        <w:rPr>
          <w:bCs/>
          <w:sz w:val="20"/>
          <w:lang w:val="en-GB"/>
        </w:rPr>
        <w:t xml:space="preserve">Email: </w:t>
      </w:r>
      <w:hyperlink r:id="rId7" w:history="1">
        <w:r w:rsidRPr="00171108">
          <w:rPr>
            <w:rStyle w:val="Hyperlink"/>
            <w:bCs/>
            <w:sz w:val="20"/>
            <w:lang w:val="en-GB"/>
          </w:rPr>
          <w:t>dcurrie@4selborne.com.au</w:t>
        </w:r>
      </w:hyperlink>
      <w:r w:rsidRPr="00171108">
        <w:rPr>
          <w:bCs/>
          <w:sz w:val="20"/>
          <w:lang w:val="en-GB"/>
        </w:rPr>
        <w:t xml:space="preserve"> </w:t>
      </w:r>
    </w:p>
    <w:p w14:paraId="57013358" w14:textId="77777777" w:rsidR="001E3F46" w:rsidRPr="00171108" w:rsidRDefault="001E3F46" w:rsidP="00171108">
      <w:pPr>
        <w:ind w:left="20"/>
        <w:jc w:val="center"/>
        <w:rPr>
          <w:sz w:val="20"/>
          <w:lang w:val="en-GB"/>
        </w:rPr>
      </w:pPr>
      <w:r w:rsidRPr="00171108">
        <w:rPr>
          <w:bCs/>
          <w:sz w:val="20"/>
          <w:lang w:val="en-GB"/>
        </w:rPr>
        <w:t>Website:</w:t>
      </w:r>
      <w:r w:rsidRPr="00171108">
        <w:rPr>
          <w:sz w:val="20"/>
          <w:lang w:val="en-GB"/>
        </w:rPr>
        <w:t xml:space="preserve"> </w:t>
      </w:r>
      <w:hyperlink r:id="rId8" w:history="1">
        <w:r w:rsidRPr="00171108">
          <w:rPr>
            <w:rStyle w:val="Hyperlink"/>
            <w:sz w:val="20"/>
            <w:lang w:val="en-GB"/>
          </w:rPr>
          <w:t>www.4selborne.com.au</w:t>
        </w:r>
      </w:hyperlink>
      <w:r w:rsidRPr="00171108">
        <w:rPr>
          <w:sz w:val="20"/>
          <w:lang w:val="en-GB"/>
        </w:rPr>
        <w:t xml:space="preserve"> </w:t>
      </w:r>
    </w:p>
    <w:p w14:paraId="641B94ED" w14:textId="77777777" w:rsidR="00716266" w:rsidRPr="00171108" w:rsidRDefault="001E3F46" w:rsidP="00171108">
      <w:pPr>
        <w:shd w:val="clear" w:color="auto" w:fill="FFFFFF"/>
        <w:jc w:val="center"/>
        <w:textAlignment w:val="baseline"/>
        <w:rPr>
          <w:rFonts w:cs="Arial"/>
          <w:color w:val="333333"/>
          <w:sz w:val="20"/>
          <w:lang w:val="en-GB" w:eastAsia="en-GB"/>
        </w:rPr>
      </w:pPr>
      <w:r w:rsidRPr="00171108">
        <w:rPr>
          <w:bCs/>
          <w:sz w:val="20"/>
          <w:lang w:val="en-GB"/>
        </w:rPr>
        <w:t>LinkedIn:</w:t>
      </w:r>
      <w:r w:rsidR="00716266" w:rsidRPr="00171108">
        <w:rPr>
          <w:bCs/>
          <w:sz w:val="20"/>
          <w:lang w:val="en-GB"/>
        </w:rPr>
        <w:t xml:space="preserve"> </w:t>
      </w:r>
      <w:hyperlink r:id="rId9" w:history="1">
        <w:r w:rsidR="00716266" w:rsidRPr="00171108">
          <w:rPr>
            <w:rStyle w:val="Hyperlink"/>
            <w:rFonts w:ascii="inherit" w:hAnsi="inherit" w:cs="Arial"/>
            <w:sz w:val="20"/>
            <w:bdr w:val="none" w:sz="0" w:space="0" w:color="auto" w:frame="1"/>
            <w:lang w:val="en-GB" w:eastAsia="en-GB"/>
          </w:rPr>
          <w:t>https://au.linke</w:t>
        </w:r>
        <w:r w:rsidR="00716266" w:rsidRPr="00171108">
          <w:rPr>
            <w:rStyle w:val="Hyperlink"/>
            <w:rFonts w:ascii="inherit" w:hAnsi="inherit" w:cs="Arial"/>
            <w:sz w:val="20"/>
            <w:bdr w:val="none" w:sz="0" w:space="0" w:color="auto" w:frame="1"/>
            <w:lang w:val="en-GB" w:eastAsia="en-GB"/>
          </w:rPr>
          <w:t>d</w:t>
        </w:r>
        <w:r w:rsidR="00716266" w:rsidRPr="00171108">
          <w:rPr>
            <w:rStyle w:val="Hyperlink"/>
            <w:rFonts w:ascii="inherit" w:hAnsi="inherit" w:cs="Arial"/>
            <w:sz w:val="20"/>
            <w:bdr w:val="none" w:sz="0" w:space="0" w:color="auto" w:frame="1"/>
            <w:lang w:val="en-GB" w:eastAsia="en-GB"/>
          </w:rPr>
          <w:t>in.com/in/david-currie-b0b19b24</w:t>
        </w:r>
      </w:hyperlink>
      <w:r w:rsidR="00716266" w:rsidRPr="00171108">
        <w:rPr>
          <w:rFonts w:ascii="inherit" w:hAnsi="inherit" w:cs="Arial"/>
          <w:color w:val="333333"/>
          <w:sz w:val="20"/>
          <w:bdr w:val="none" w:sz="0" w:space="0" w:color="auto" w:frame="1"/>
          <w:lang w:val="en-GB" w:eastAsia="en-GB"/>
        </w:rPr>
        <w:t xml:space="preserve"> </w:t>
      </w:r>
    </w:p>
    <w:p w14:paraId="112D3FC3" w14:textId="77777777" w:rsidR="00AE46A5" w:rsidRDefault="00AE46A5">
      <w:pPr>
        <w:pBdr>
          <w:bottom w:val="single" w:sz="12" w:space="0" w:color="auto"/>
        </w:pBdr>
        <w:ind w:left="20"/>
        <w:jc w:val="both"/>
        <w:rPr>
          <w:sz w:val="22"/>
          <w:szCs w:val="22"/>
          <w:lang w:val="en-GB"/>
        </w:rPr>
      </w:pPr>
    </w:p>
    <w:p w14:paraId="0FF3D264" w14:textId="77777777" w:rsidR="00AE46A5" w:rsidRDefault="00AE46A5">
      <w:pPr>
        <w:jc w:val="both"/>
        <w:rPr>
          <w:sz w:val="22"/>
          <w:lang w:val="en-GB"/>
        </w:rPr>
      </w:pPr>
    </w:p>
    <w:p w14:paraId="17DB02CC" w14:textId="77777777" w:rsidR="00176C0D" w:rsidRDefault="00176C0D" w:rsidP="00176C0D">
      <w:pPr>
        <w:spacing w:after="240"/>
        <w:jc w:val="both"/>
        <w:rPr>
          <w:b/>
          <w:color w:val="000080"/>
          <w:sz w:val="28"/>
          <w:szCs w:val="26"/>
          <w:lang w:val="en-GB"/>
        </w:rPr>
      </w:pPr>
      <w:r>
        <w:rPr>
          <w:b/>
          <w:color w:val="000080"/>
          <w:sz w:val="28"/>
          <w:szCs w:val="26"/>
          <w:lang w:val="en-GB"/>
        </w:rPr>
        <w:t>ADMISSIONS: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25"/>
        <w:gridCol w:w="5639"/>
      </w:tblGrid>
      <w:tr w:rsidR="00176C0D" w:rsidRPr="00EF1AD3" w14:paraId="792CA4F4" w14:textId="77777777" w:rsidTr="00EF1AD3">
        <w:tc>
          <w:tcPr>
            <w:tcW w:w="3510" w:type="dxa"/>
            <w:shd w:val="clear" w:color="auto" w:fill="auto"/>
          </w:tcPr>
          <w:p w14:paraId="480715FD" w14:textId="77777777" w:rsidR="00176C0D" w:rsidRPr="00EF1AD3" w:rsidRDefault="00176C0D" w:rsidP="00EF1AD3">
            <w:pPr>
              <w:spacing w:before="240" w:after="240"/>
              <w:jc w:val="both"/>
              <w:rPr>
                <w:sz w:val="22"/>
                <w:lang w:val="en-GB"/>
              </w:rPr>
            </w:pPr>
            <w:r w:rsidRPr="00EF1AD3">
              <w:rPr>
                <w:sz w:val="22"/>
                <w:lang w:val="en-GB"/>
              </w:rPr>
              <w:t>2002</w:t>
            </w:r>
          </w:p>
        </w:tc>
        <w:tc>
          <w:tcPr>
            <w:tcW w:w="5770" w:type="dxa"/>
            <w:shd w:val="clear" w:color="auto" w:fill="auto"/>
          </w:tcPr>
          <w:p w14:paraId="52E3687F" w14:textId="77777777" w:rsidR="00176C0D" w:rsidRPr="00EF1AD3" w:rsidRDefault="00176C0D" w:rsidP="00EF1AD3">
            <w:pPr>
              <w:spacing w:before="240" w:after="240"/>
              <w:jc w:val="both"/>
              <w:rPr>
                <w:sz w:val="22"/>
                <w:lang w:val="en-GB"/>
              </w:rPr>
            </w:pPr>
            <w:r w:rsidRPr="00EF1AD3">
              <w:rPr>
                <w:sz w:val="22"/>
                <w:lang w:val="en-GB"/>
              </w:rPr>
              <w:t>Legal Practitioner of the High Court of Australia</w:t>
            </w:r>
          </w:p>
        </w:tc>
      </w:tr>
      <w:tr w:rsidR="00176C0D" w:rsidRPr="00EF1AD3" w14:paraId="0CEFBFC6" w14:textId="77777777" w:rsidTr="00EF1AD3">
        <w:tc>
          <w:tcPr>
            <w:tcW w:w="3510" w:type="dxa"/>
            <w:shd w:val="clear" w:color="auto" w:fill="auto"/>
          </w:tcPr>
          <w:p w14:paraId="40C11628" w14:textId="77777777" w:rsidR="00176C0D" w:rsidRPr="00EF1AD3" w:rsidRDefault="00176C0D" w:rsidP="00EF1AD3">
            <w:pPr>
              <w:spacing w:before="240" w:after="240"/>
              <w:jc w:val="both"/>
              <w:rPr>
                <w:sz w:val="22"/>
                <w:lang w:val="en-GB"/>
              </w:rPr>
            </w:pPr>
            <w:r w:rsidRPr="00EF1AD3">
              <w:rPr>
                <w:sz w:val="22"/>
                <w:lang w:val="en-GB"/>
              </w:rPr>
              <w:t>2002</w:t>
            </w:r>
          </w:p>
        </w:tc>
        <w:tc>
          <w:tcPr>
            <w:tcW w:w="5770" w:type="dxa"/>
            <w:shd w:val="clear" w:color="auto" w:fill="auto"/>
          </w:tcPr>
          <w:p w14:paraId="4A7BDD90" w14:textId="77777777" w:rsidR="00176C0D" w:rsidRPr="00EF1AD3" w:rsidRDefault="00176C0D" w:rsidP="00EF1AD3">
            <w:pPr>
              <w:spacing w:before="240" w:after="240"/>
              <w:jc w:val="both"/>
              <w:rPr>
                <w:sz w:val="22"/>
                <w:lang w:val="en-GB"/>
              </w:rPr>
            </w:pPr>
            <w:r w:rsidRPr="00EF1AD3">
              <w:rPr>
                <w:sz w:val="22"/>
                <w:lang w:val="en-GB"/>
              </w:rPr>
              <w:t>Legal Practitioner of the Federal Court of Australia</w:t>
            </w:r>
          </w:p>
        </w:tc>
      </w:tr>
      <w:tr w:rsidR="00176C0D" w:rsidRPr="00EF1AD3" w14:paraId="225F4EAF" w14:textId="77777777" w:rsidTr="00EF1AD3">
        <w:tc>
          <w:tcPr>
            <w:tcW w:w="3510" w:type="dxa"/>
            <w:shd w:val="clear" w:color="auto" w:fill="auto"/>
          </w:tcPr>
          <w:p w14:paraId="649CB5F7" w14:textId="77777777" w:rsidR="00176C0D" w:rsidRPr="00EF1AD3" w:rsidRDefault="00176C0D" w:rsidP="00EF1AD3">
            <w:pPr>
              <w:spacing w:before="240" w:after="240"/>
              <w:jc w:val="both"/>
              <w:rPr>
                <w:sz w:val="22"/>
                <w:lang w:val="en-GB"/>
              </w:rPr>
            </w:pPr>
            <w:r w:rsidRPr="00EF1AD3">
              <w:rPr>
                <w:sz w:val="22"/>
                <w:lang w:val="en-GB"/>
              </w:rPr>
              <w:t>2002</w:t>
            </w:r>
          </w:p>
        </w:tc>
        <w:tc>
          <w:tcPr>
            <w:tcW w:w="5770" w:type="dxa"/>
            <w:shd w:val="clear" w:color="auto" w:fill="auto"/>
          </w:tcPr>
          <w:p w14:paraId="6AFDB6EB" w14:textId="77777777" w:rsidR="00176C0D" w:rsidRPr="00EF1AD3" w:rsidRDefault="00176C0D" w:rsidP="00EF1AD3">
            <w:pPr>
              <w:spacing w:before="240" w:after="240"/>
              <w:jc w:val="both"/>
              <w:rPr>
                <w:sz w:val="22"/>
                <w:lang w:val="en-GB"/>
              </w:rPr>
            </w:pPr>
            <w:r w:rsidRPr="00EF1AD3">
              <w:rPr>
                <w:sz w:val="22"/>
                <w:lang w:val="en-GB"/>
              </w:rPr>
              <w:t>Legal Practitioner of the Supreme Court of NSW</w:t>
            </w:r>
          </w:p>
        </w:tc>
      </w:tr>
      <w:tr w:rsidR="000736E7" w:rsidRPr="00EF1AD3" w14:paraId="27E756B6" w14:textId="77777777" w:rsidTr="00EF1AD3">
        <w:tc>
          <w:tcPr>
            <w:tcW w:w="3510" w:type="dxa"/>
            <w:shd w:val="clear" w:color="auto" w:fill="auto"/>
          </w:tcPr>
          <w:p w14:paraId="09127AC5" w14:textId="77777777" w:rsidR="000736E7" w:rsidRDefault="000736E7" w:rsidP="00EF1AD3">
            <w:pPr>
              <w:spacing w:before="240" w:after="240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2009</w:t>
            </w:r>
          </w:p>
          <w:p w14:paraId="3D5A460C" w14:textId="70FDD15B" w:rsidR="00AA77F1" w:rsidRPr="00EF1AD3" w:rsidRDefault="00AA77F1" w:rsidP="00EF1AD3">
            <w:pPr>
              <w:spacing w:before="240" w:after="240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2020</w:t>
            </w:r>
          </w:p>
        </w:tc>
        <w:tc>
          <w:tcPr>
            <w:tcW w:w="5770" w:type="dxa"/>
            <w:shd w:val="clear" w:color="auto" w:fill="auto"/>
          </w:tcPr>
          <w:p w14:paraId="7673FBA8" w14:textId="77777777" w:rsidR="000736E7" w:rsidRDefault="000736E7" w:rsidP="00EF1AD3">
            <w:pPr>
              <w:spacing w:before="240" w:after="240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NSW Bar</w:t>
            </w:r>
          </w:p>
          <w:p w14:paraId="4B3E1639" w14:textId="7C477B52" w:rsidR="00AA77F1" w:rsidRPr="00EF1AD3" w:rsidRDefault="00AA77F1" w:rsidP="00EF1AD3">
            <w:pPr>
              <w:spacing w:before="240" w:after="240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College of Law NMAS Mediator Course and NMAS Accreditation</w:t>
            </w:r>
          </w:p>
        </w:tc>
      </w:tr>
    </w:tbl>
    <w:p w14:paraId="22FA0860" w14:textId="77777777" w:rsidR="00176C0D" w:rsidRPr="00176C0D" w:rsidRDefault="00176C0D" w:rsidP="00176C0D">
      <w:pPr>
        <w:spacing w:after="240"/>
        <w:jc w:val="both"/>
        <w:rPr>
          <w:b/>
          <w:sz w:val="28"/>
          <w:szCs w:val="26"/>
          <w:lang w:val="en-GB"/>
        </w:rPr>
      </w:pPr>
      <w:r>
        <w:rPr>
          <w:b/>
          <w:color w:val="000080"/>
          <w:sz w:val="28"/>
          <w:szCs w:val="26"/>
          <w:lang w:val="en-GB"/>
        </w:rPr>
        <w:t>PRACTICE AREAS:</w:t>
      </w:r>
    </w:p>
    <w:p w14:paraId="6D200A90" w14:textId="77777777" w:rsidR="00176C0D" w:rsidRDefault="00176C0D" w:rsidP="00176C0D">
      <w:pPr>
        <w:jc w:val="both"/>
        <w:rPr>
          <w:rFonts w:cs="Arial"/>
          <w:color w:val="000000"/>
          <w:sz w:val="22"/>
          <w:szCs w:val="22"/>
        </w:rPr>
      </w:pPr>
      <w:r w:rsidRPr="00176C0D">
        <w:rPr>
          <w:sz w:val="22"/>
          <w:szCs w:val="22"/>
          <w:lang w:val="en-GB"/>
        </w:rPr>
        <w:t xml:space="preserve">I </w:t>
      </w:r>
      <w:r w:rsidR="000736E7">
        <w:rPr>
          <w:sz w:val="22"/>
          <w:szCs w:val="22"/>
          <w:lang w:val="en-GB"/>
        </w:rPr>
        <w:t xml:space="preserve">appear in various jurisdictions and </w:t>
      </w:r>
      <w:r w:rsidRPr="00176C0D">
        <w:rPr>
          <w:sz w:val="22"/>
          <w:szCs w:val="22"/>
          <w:lang w:val="en-GB"/>
        </w:rPr>
        <w:t xml:space="preserve">practise </w:t>
      </w:r>
      <w:r w:rsidRPr="00176C0D">
        <w:rPr>
          <w:rFonts w:cs="Arial"/>
          <w:color w:val="000000"/>
          <w:sz w:val="22"/>
          <w:szCs w:val="22"/>
        </w:rPr>
        <w:t xml:space="preserve">in a variety of commercial matters such as equity, corporations law (including statutory demands, directors and shareholder disputes), competition &amp; consumer law, bankruptcy, </w:t>
      </w:r>
      <w:r w:rsidR="001B40D1">
        <w:rPr>
          <w:rFonts w:cs="Arial"/>
          <w:color w:val="000000"/>
          <w:sz w:val="22"/>
          <w:szCs w:val="22"/>
        </w:rPr>
        <w:t>w</w:t>
      </w:r>
      <w:r w:rsidRPr="00176C0D">
        <w:rPr>
          <w:rFonts w:cs="Arial"/>
          <w:color w:val="000000"/>
          <w:sz w:val="22"/>
          <w:szCs w:val="22"/>
        </w:rPr>
        <w:t xml:space="preserve">ills and </w:t>
      </w:r>
      <w:r w:rsidR="001B40D1">
        <w:rPr>
          <w:rFonts w:cs="Arial"/>
          <w:color w:val="000000"/>
          <w:sz w:val="22"/>
          <w:szCs w:val="22"/>
        </w:rPr>
        <w:t>p</w:t>
      </w:r>
      <w:r w:rsidRPr="00176C0D">
        <w:rPr>
          <w:rFonts w:cs="Arial"/>
          <w:color w:val="000000"/>
          <w:sz w:val="22"/>
          <w:szCs w:val="22"/>
        </w:rPr>
        <w:t>robate (including succession and family provision</w:t>
      </w:r>
      <w:r w:rsidR="001B40D1">
        <w:rPr>
          <w:rFonts w:cs="Arial"/>
          <w:color w:val="000000"/>
          <w:sz w:val="22"/>
          <w:szCs w:val="22"/>
        </w:rPr>
        <w:t xml:space="preserve"> claims</w:t>
      </w:r>
      <w:r w:rsidRPr="00176C0D">
        <w:rPr>
          <w:rFonts w:cs="Arial"/>
          <w:color w:val="000000"/>
          <w:sz w:val="22"/>
          <w:szCs w:val="22"/>
        </w:rPr>
        <w:t xml:space="preserve">), </w:t>
      </w:r>
      <w:r w:rsidR="001B40D1">
        <w:rPr>
          <w:rFonts w:cs="Arial"/>
          <w:color w:val="000000"/>
          <w:sz w:val="22"/>
          <w:szCs w:val="22"/>
        </w:rPr>
        <w:t>property &amp; trusts and building and construction law.</w:t>
      </w:r>
    </w:p>
    <w:p w14:paraId="01421F4B" w14:textId="77777777" w:rsidR="004D6A9B" w:rsidRDefault="004D6A9B" w:rsidP="00176C0D">
      <w:pPr>
        <w:jc w:val="both"/>
        <w:rPr>
          <w:rFonts w:cs="Arial"/>
          <w:color w:val="000000"/>
          <w:sz w:val="22"/>
          <w:szCs w:val="22"/>
        </w:rPr>
      </w:pPr>
    </w:p>
    <w:p w14:paraId="60B71FCA" w14:textId="77777777" w:rsidR="004D6A9B" w:rsidRPr="00176C0D" w:rsidRDefault="004D6A9B" w:rsidP="00176C0D">
      <w:p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I will accept direct briefs from in-house counsel.</w:t>
      </w:r>
    </w:p>
    <w:p w14:paraId="6C4B7447" w14:textId="77777777" w:rsidR="00176C0D" w:rsidRPr="00176C0D" w:rsidRDefault="00176C0D">
      <w:pPr>
        <w:jc w:val="both"/>
        <w:rPr>
          <w:sz w:val="22"/>
          <w:szCs w:val="22"/>
          <w:lang w:val="en-GB"/>
        </w:rPr>
      </w:pPr>
    </w:p>
    <w:p w14:paraId="25B8C2AD" w14:textId="77777777" w:rsidR="00AE46A5" w:rsidRDefault="00AE46A5" w:rsidP="002D7164">
      <w:pPr>
        <w:spacing w:after="240"/>
        <w:jc w:val="both"/>
        <w:rPr>
          <w:b/>
          <w:color w:val="000080"/>
          <w:sz w:val="28"/>
          <w:szCs w:val="26"/>
          <w:lang w:val="en-GB"/>
        </w:rPr>
      </w:pPr>
      <w:r>
        <w:rPr>
          <w:b/>
          <w:color w:val="000080"/>
          <w:sz w:val="28"/>
          <w:szCs w:val="26"/>
          <w:lang w:val="en-GB"/>
        </w:rPr>
        <w:t>EXPERIENCE</w:t>
      </w:r>
      <w:r w:rsidR="002D7164">
        <w:rPr>
          <w:b/>
          <w:color w:val="000080"/>
          <w:sz w:val="28"/>
          <w:szCs w:val="26"/>
          <w:lang w:val="en-GB"/>
        </w:rPr>
        <w:t>:</w:t>
      </w:r>
    </w:p>
    <w:p w14:paraId="3C113C7E" w14:textId="1CB52B81" w:rsidR="001B40D1" w:rsidRDefault="00176C0D">
      <w:pPr>
        <w:pStyle w:val="Single11"/>
        <w:jc w:val="both"/>
      </w:pPr>
      <w:r>
        <w:t xml:space="preserve">I </w:t>
      </w:r>
      <w:r w:rsidR="00AA77F1">
        <w:t xml:space="preserve">now </w:t>
      </w:r>
      <w:r>
        <w:t xml:space="preserve">have </w:t>
      </w:r>
      <w:r w:rsidR="00AA77F1">
        <w:t xml:space="preserve">in excess of 18 </w:t>
      </w:r>
      <w:r>
        <w:t>years’ experience</w:t>
      </w:r>
      <w:r w:rsidR="00AE46A5">
        <w:t xml:space="preserve"> </w:t>
      </w:r>
      <w:r>
        <w:t>(</w:t>
      </w:r>
      <w:r w:rsidR="001B40D1">
        <w:t xml:space="preserve">combined </w:t>
      </w:r>
      <w:r>
        <w:t xml:space="preserve">as a solicitor and barrister) </w:t>
      </w:r>
      <w:r w:rsidR="00AE46A5">
        <w:t xml:space="preserve">in </w:t>
      </w:r>
      <w:r>
        <w:t>commercial matte</w:t>
      </w:r>
      <w:r w:rsidR="001B40D1">
        <w:t>r</w:t>
      </w:r>
      <w:r>
        <w:t xml:space="preserve">s where I have advised and appeared in various </w:t>
      </w:r>
      <w:r w:rsidR="00AE46A5">
        <w:t xml:space="preserve">jurisdictions such as </w:t>
      </w:r>
      <w:r w:rsidR="000736E7">
        <w:t xml:space="preserve">the Federal Court and Federal Magistrates Court, </w:t>
      </w:r>
      <w:r w:rsidR="00AE46A5">
        <w:t xml:space="preserve">the </w:t>
      </w:r>
      <w:r>
        <w:t xml:space="preserve">NSW </w:t>
      </w:r>
      <w:r w:rsidR="00AE46A5">
        <w:t xml:space="preserve">Court of Appeal, </w:t>
      </w:r>
      <w:r w:rsidR="001B40D1">
        <w:t xml:space="preserve">NSW </w:t>
      </w:r>
      <w:r w:rsidR="00AE46A5">
        <w:t>Supreme</w:t>
      </w:r>
      <w:r w:rsidR="000736E7">
        <w:t xml:space="preserve"> Court</w:t>
      </w:r>
      <w:r w:rsidR="00AE46A5">
        <w:t xml:space="preserve">, </w:t>
      </w:r>
      <w:r w:rsidR="001B40D1">
        <w:t xml:space="preserve">NSW </w:t>
      </w:r>
      <w:r w:rsidR="00AE46A5">
        <w:t>District</w:t>
      </w:r>
      <w:r w:rsidR="000736E7">
        <w:t xml:space="preserve"> Court</w:t>
      </w:r>
      <w:r w:rsidR="00AE46A5">
        <w:t xml:space="preserve">, </w:t>
      </w:r>
      <w:r w:rsidR="001B40D1">
        <w:t xml:space="preserve">NSW </w:t>
      </w:r>
      <w:r w:rsidR="00AE46A5">
        <w:t xml:space="preserve">Local </w:t>
      </w:r>
      <w:r w:rsidR="000736E7">
        <w:t xml:space="preserve">Court </w:t>
      </w:r>
      <w:r w:rsidR="00AE46A5">
        <w:t xml:space="preserve">and </w:t>
      </w:r>
      <w:r w:rsidR="001B40D1">
        <w:t xml:space="preserve">NSW </w:t>
      </w:r>
      <w:r w:rsidR="00AE46A5">
        <w:t>Industrial Relations Commission, Administrative Appeal Tribunal</w:t>
      </w:r>
      <w:r w:rsidR="000736E7">
        <w:t xml:space="preserve"> (AAT) and</w:t>
      </w:r>
      <w:r w:rsidR="00AE46A5">
        <w:t xml:space="preserve"> Consumer, Trader and Tenancy Tribunal</w:t>
      </w:r>
      <w:r w:rsidR="001B40D1">
        <w:t xml:space="preserve"> (now NCAT).</w:t>
      </w:r>
    </w:p>
    <w:p w14:paraId="7C4A78D9" w14:textId="77777777" w:rsidR="001B40D1" w:rsidRDefault="001B40D1">
      <w:pPr>
        <w:pStyle w:val="Single11"/>
        <w:jc w:val="both"/>
      </w:pPr>
    </w:p>
    <w:p w14:paraId="500B1D2F" w14:textId="77777777" w:rsidR="00AE46A5" w:rsidRDefault="001B40D1">
      <w:pPr>
        <w:pStyle w:val="Single11"/>
        <w:jc w:val="both"/>
      </w:pPr>
      <w:r>
        <w:t xml:space="preserve">I am </w:t>
      </w:r>
      <w:proofErr w:type="gramStart"/>
      <w:r>
        <w:t>regularly asked</w:t>
      </w:r>
      <w:proofErr w:type="gramEnd"/>
      <w:r>
        <w:t xml:space="preserve"> to advise and appear in Court </w:t>
      </w:r>
      <w:r w:rsidR="000736E7">
        <w:t xml:space="preserve">and mediations </w:t>
      </w:r>
      <w:r>
        <w:t xml:space="preserve">with </w:t>
      </w:r>
      <w:r w:rsidR="000736E7">
        <w:t>respect to contractual disputes</w:t>
      </w:r>
      <w:r>
        <w:t xml:space="preserve"> and d</w:t>
      </w:r>
      <w:r w:rsidR="00AE46A5">
        <w:t xml:space="preserve">ebt recovery matters </w:t>
      </w:r>
      <w:r>
        <w:t xml:space="preserve">that fall within </w:t>
      </w:r>
      <w:r w:rsidR="00AE46A5">
        <w:t xml:space="preserve">the </w:t>
      </w:r>
      <w:r>
        <w:t xml:space="preserve">jurisdictions of the </w:t>
      </w:r>
      <w:r w:rsidR="00AE46A5">
        <w:t>Local, District and Supreme Courts</w:t>
      </w:r>
      <w:r w:rsidR="000736E7">
        <w:t xml:space="preserve"> of NSW</w:t>
      </w:r>
      <w:r w:rsidR="00AE46A5">
        <w:t xml:space="preserve">.  </w:t>
      </w:r>
    </w:p>
    <w:p w14:paraId="556B73C2" w14:textId="77777777" w:rsidR="001B40D1" w:rsidRDefault="001B40D1">
      <w:pPr>
        <w:pStyle w:val="Single11"/>
        <w:jc w:val="both"/>
      </w:pPr>
    </w:p>
    <w:p w14:paraId="1644B198" w14:textId="77777777" w:rsidR="001B40D1" w:rsidRDefault="001B40D1">
      <w:pPr>
        <w:pStyle w:val="Single11"/>
        <w:jc w:val="both"/>
      </w:pPr>
      <w:r w:rsidRPr="001B40D1">
        <w:t xml:space="preserve">I </w:t>
      </w:r>
      <w:r>
        <w:t xml:space="preserve">have </w:t>
      </w:r>
      <w:r w:rsidRPr="001B40D1">
        <w:t>appear</w:t>
      </w:r>
      <w:r>
        <w:t>ed regularly in the Federal Court in company wind ups and the Federal Magistrates Court concerning bankruptcy matters and setting aside bankruptcy notices.</w:t>
      </w:r>
    </w:p>
    <w:p w14:paraId="1704651E" w14:textId="77777777" w:rsidR="00AA77F1" w:rsidRPr="00AA77F1" w:rsidRDefault="00AA77F1" w:rsidP="00AA77F1">
      <w:pPr>
        <w:spacing w:after="120"/>
        <w:jc w:val="both"/>
        <w:rPr>
          <w:b/>
          <w:color w:val="000080"/>
          <w:sz w:val="16"/>
          <w:szCs w:val="16"/>
          <w:lang w:val="en-GB"/>
        </w:rPr>
      </w:pPr>
    </w:p>
    <w:p w14:paraId="0043A0FE" w14:textId="57C66755" w:rsidR="002D7164" w:rsidRDefault="00AA77F1" w:rsidP="002D7164">
      <w:pPr>
        <w:spacing w:after="240"/>
        <w:jc w:val="both"/>
      </w:pPr>
      <w:r>
        <w:rPr>
          <w:b/>
          <w:color w:val="000080"/>
          <w:sz w:val="28"/>
          <w:szCs w:val="26"/>
          <w:lang w:val="en-GB"/>
        </w:rPr>
        <w:t xml:space="preserve">SOME </w:t>
      </w:r>
      <w:r w:rsidR="002D7164">
        <w:rPr>
          <w:b/>
          <w:color w:val="000080"/>
          <w:sz w:val="28"/>
          <w:szCs w:val="26"/>
          <w:lang w:val="en-GB"/>
        </w:rPr>
        <w:t>CASES:</w:t>
      </w:r>
    </w:p>
    <w:p w14:paraId="4D41FE7E" w14:textId="3C92DE42" w:rsidR="00D12EC6" w:rsidRPr="00D12EC6" w:rsidRDefault="00D12EC6" w:rsidP="000736E7">
      <w:pPr>
        <w:pStyle w:val="ListParagraph"/>
        <w:widowControl/>
        <w:numPr>
          <w:ilvl w:val="0"/>
          <w:numId w:val="8"/>
        </w:numPr>
        <w:spacing w:after="240"/>
        <w:ind w:left="714" w:hanging="357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D12EC6">
        <w:rPr>
          <w:rStyle w:val="Strong"/>
          <w:rFonts w:ascii="Arial" w:hAnsi="Arial" w:cs="Arial"/>
          <w:b w:val="0"/>
          <w:bCs w:val="0"/>
          <w:color w:val="263238"/>
          <w:sz w:val="22"/>
          <w:szCs w:val="22"/>
        </w:rPr>
        <w:t>Frimont v Case [2020] NSWSC 850</w:t>
      </w:r>
    </w:p>
    <w:p w14:paraId="74D9B42E" w14:textId="1314CD4B" w:rsidR="00D12EC6" w:rsidRPr="00CA5217" w:rsidRDefault="00D12EC6" w:rsidP="000736E7">
      <w:pPr>
        <w:pStyle w:val="ListParagraph"/>
        <w:widowControl/>
        <w:numPr>
          <w:ilvl w:val="0"/>
          <w:numId w:val="8"/>
        </w:numPr>
        <w:spacing w:after="240"/>
        <w:ind w:left="714" w:hanging="357"/>
        <w:contextualSpacing w:val="0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CA5217">
        <w:rPr>
          <w:rStyle w:val="Strong"/>
          <w:rFonts w:ascii="Arial" w:hAnsi="Arial" w:cs="Arial"/>
          <w:b w:val="0"/>
          <w:bCs w:val="0"/>
          <w:color w:val="263238"/>
          <w:sz w:val="22"/>
          <w:szCs w:val="22"/>
        </w:rPr>
        <w:t>Sun v He [2020] NSWSC 802</w:t>
      </w:r>
      <w:r w:rsidRPr="00CA5217">
        <w:rPr>
          <w:rStyle w:val="Strong"/>
          <w:rFonts w:ascii="Arial" w:hAnsi="Arial" w:cs="Arial"/>
          <w:b w:val="0"/>
          <w:bCs w:val="0"/>
          <w:color w:val="263238"/>
          <w:sz w:val="22"/>
          <w:szCs w:val="22"/>
        </w:rPr>
        <w:t xml:space="preserve">; </w:t>
      </w:r>
      <w:r w:rsidR="00CA5217" w:rsidRPr="00CA5217">
        <w:rPr>
          <w:rStyle w:val="Strong"/>
          <w:rFonts w:ascii="Arial" w:hAnsi="Arial" w:cs="Arial"/>
          <w:b w:val="0"/>
          <w:bCs w:val="0"/>
          <w:color w:val="263238"/>
          <w:sz w:val="22"/>
          <w:szCs w:val="22"/>
        </w:rPr>
        <w:t>Sun v He (No 2) [2020] NSWSC 1298</w:t>
      </w:r>
    </w:p>
    <w:p w14:paraId="098BE02D" w14:textId="65EF5192" w:rsidR="003B4E0A" w:rsidRPr="003B4E0A" w:rsidRDefault="003B4E0A" w:rsidP="000736E7">
      <w:pPr>
        <w:pStyle w:val="ListParagraph"/>
        <w:widowControl/>
        <w:numPr>
          <w:ilvl w:val="0"/>
          <w:numId w:val="8"/>
        </w:numPr>
        <w:spacing w:after="240"/>
        <w:ind w:left="714" w:hanging="357"/>
        <w:contextualSpacing w:val="0"/>
        <w:rPr>
          <w:rFonts w:ascii="Arial" w:hAnsi="Arial" w:cs="Arial"/>
          <w:b/>
          <w:bCs/>
          <w:sz w:val="22"/>
          <w:szCs w:val="22"/>
        </w:rPr>
      </w:pPr>
      <w:proofErr w:type="spellStart"/>
      <w:r w:rsidRPr="003B4E0A">
        <w:rPr>
          <w:rStyle w:val="Strong"/>
          <w:rFonts w:ascii="Arial" w:hAnsi="Arial" w:cs="Arial"/>
          <w:b w:val="0"/>
          <w:bCs w:val="0"/>
          <w:color w:val="263238"/>
          <w:sz w:val="22"/>
          <w:szCs w:val="22"/>
        </w:rPr>
        <w:t>Milosevska</w:t>
      </w:r>
      <w:proofErr w:type="spellEnd"/>
      <w:r w:rsidRPr="003B4E0A">
        <w:rPr>
          <w:rStyle w:val="Strong"/>
          <w:rFonts w:ascii="Arial" w:hAnsi="Arial" w:cs="Arial"/>
          <w:b w:val="0"/>
          <w:bCs w:val="0"/>
          <w:color w:val="263238"/>
          <w:sz w:val="22"/>
          <w:szCs w:val="22"/>
        </w:rPr>
        <w:t xml:space="preserve"> v </w:t>
      </w:r>
      <w:proofErr w:type="spellStart"/>
      <w:r w:rsidRPr="003B4E0A">
        <w:rPr>
          <w:rStyle w:val="Strong"/>
          <w:rFonts w:ascii="Arial" w:hAnsi="Arial" w:cs="Arial"/>
          <w:b w:val="0"/>
          <w:bCs w:val="0"/>
          <w:color w:val="263238"/>
          <w:sz w:val="22"/>
          <w:szCs w:val="22"/>
        </w:rPr>
        <w:t>Milosevski</w:t>
      </w:r>
      <w:proofErr w:type="spellEnd"/>
      <w:r w:rsidRPr="003B4E0A">
        <w:rPr>
          <w:rStyle w:val="Strong"/>
          <w:rFonts w:ascii="Arial" w:hAnsi="Arial" w:cs="Arial"/>
          <w:b w:val="0"/>
          <w:bCs w:val="0"/>
          <w:color w:val="263238"/>
          <w:sz w:val="22"/>
          <w:szCs w:val="22"/>
        </w:rPr>
        <w:t xml:space="preserve"> [2019] NSWSC 711</w:t>
      </w:r>
    </w:p>
    <w:p w14:paraId="00855E00" w14:textId="7D5830B5" w:rsidR="003B4E0A" w:rsidRPr="003B4E0A" w:rsidRDefault="003B4E0A" w:rsidP="000736E7">
      <w:pPr>
        <w:pStyle w:val="ListParagraph"/>
        <w:widowControl/>
        <w:numPr>
          <w:ilvl w:val="0"/>
          <w:numId w:val="8"/>
        </w:numPr>
        <w:spacing w:after="240"/>
        <w:ind w:left="714" w:hanging="357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3B4E0A">
        <w:rPr>
          <w:rStyle w:val="Strong"/>
          <w:rFonts w:ascii="Arial" w:hAnsi="Arial" w:cs="Arial"/>
          <w:b w:val="0"/>
          <w:bCs w:val="0"/>
          <w:color w:val="263238"/>
          <w:sz w:val="22"/>
          <w:szCs w:val="22"/>
        </w:rPr>
        <w:t>Love v Williams [2019] NSWSC 555</w:t>
      </w:r>
    </w:p>
    <w:p w14:paraId="044D3D42" w14:textId="6B9DC853" w:rsidR="003B4E0A" w:rsidRPr="003B4E0A" w:rsidRDefault="003B4E0A" w:rsidP="000736E7">
      <w:pPr>
        <w:pStyle w:val="ListParagraph"/>
        <w:widowControl/>
        <w:numPr>
          <w:ilvl w:val="0"/>
          <w:numId w:val="8"/>
        </w:numPr>
        <w:spacing w:after="240"/>
        <w:ind w:left="714" w:hanging="357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3B4E0A">
        <w:rPr>
          <w:rStyle w:val="Strong"/>
          <w:rFonts w:ascii="Arial" w:hAnsi="Arial" w:cs="Arial"/>
          <w:b w:val="0"/>
          <w:bCs w:val="0"/>
          <w:color w:val="263238"/>
          <w:sz w:val="22"/>
          <w:szCs w:val="22"/>
        </w:rPr>
        <w:t>Ghannoum v Papadeas [2018] NSWSC 1883</w:t>
      </w:r>
    </w:p>
    <w:p w14:paraId="08BFD244" w14:textId="4758A206" w:rsidR="003B4E0A" w:rsidRPr="003B4E0A" w:rsidRDefault="003B4E0A" w:rsidP="000736E7">
      <w:pPr>
        <w:pStyle w:val="ListParagraph"/>
        <w:widowControl/>
        <w:numPr>
          <w:ilvl w:val="0"/>
          <w:numId w:val="8"/>
        </w:numPr>
        <w:spacing w:after="240"/>
        <w:ind w:left="714" w:hanging="357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3B4E0A">
        <w:rPr>
          <w:rStyle w:val="Strong"/>
          <w:rFonts w:ascii="Arial" w:hAnsi="Arial" w:cs="Arial"/>
          <w:b w:val="0"/>
          <w:bCs w:val="0"/>
          <w:color w:val="263238"/>
          <w:sz w:val="22"/>
          <w:szCs w:val="22"/>
        </w:rPr>
        <w:t xml:space="preserve">The Berry Rural </w:t>
      </w:r>
      <w:proofErr w:type="gramStart"/>
      <w:r w:rsidRPr="003B4E0A">
        <w:rPr>
          <w:rStyle w:val="Strong"/>
          <w:rFonts w:ascii="Arial" w:hAnsi="Arial" w:cs="Arial"/>
          <w:b w:val="0"/>
          <w:bCs w:val="0"/>
          <w:color w:val="263238"/>
          <w:sz w:val="22"/>
          <w:szCs w:val="22"/>
        </w:rPr>
        <w:t>Co Operative</w:t>
      </w:r>
      <w:proofErr w:type="gramEnd"/>
      <w:r w:rsidRPr="003B4E0A">
        <w:rPr>
          <w:rStyle w:val="Strong"/>
          <w:rFonts w:ascii="Arial" w:hAnsi="Arial" w:cs="Arial"/>
          <w:b w:val="0"/>
          <w:bCs w:val="0"/>
          <w:color w:val="263238"/>
          <w:sz w:val="22"/>
          <w:szCs w:val="22"/>
        </w:rPr>
        <w:t xml:space="preserve"> Society Ltd v </w:t>
      </w:r>
      <w:proofErr w:type="spellStart"/>
      <w:r w:rsidRPr="003B4E0A">
        <w:rPr>
          <w:rStyle w:val="Strong"/>
          <w:rFonts w:ascii="Arial" w:hAnsi="Arial" w:cs="Arial"/>
          <w:b w:val="0"/>
          <w:bCs w:val="0"/>
          <w:color w:val="263238"/>
          <w:sz w:val="22"/>
          <w:szCs w:val="22"/>
        </w:rPr>
        <w:t>Sepak</w:t>
      </w:r>
      <w:proofErr w:type="spellEnd"/>
      <w:r w:rsidRPr="003B4E0A">
        <w:rPr>
          <w:rStyle w:val="Strong"/>
          <w:rFonts w:ascii="Arial" w:hAnsi="Arial" w:cs="Arial"/>
          <w:b w:val="0"/>
          <w:bCs w:val="0"/>
          <w:color w:val="263238"/>
          <w:sz w:val="22"/>
          <w:szCs w:val="22"/>
        </w:rPr>
        <w:t xml:space="preserve"> Industries Pty Ltd (No 2) [2018] NSWSC 298</w:t>
      </w:r>
    </w:p>
    <w:p w14:paraId="1EE374C7" w14:textId="5CA96455" w:rsidR="003B4E0A" w:rsidRPr="003B4E0A" w:rsidRDefault="003B4E0A" w:rsidP="000736E7">
      <w:pPr>
        <w:pStyle w:val="ListParagraph"/>
        <w:widowControl/>
        <w:numPr>
          <w:ilvl w:val="0"/>
          <w:numId w:val="8"/>
        </w:numPr>
        <w:spacing w:after="240"/>
        <w:ind w:left="714" w:hanging="357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3B4E0A">
        <w:rPr>
          <w:rStyle w:val="Strong"/>
          <w:rFonts w:ascii="Arial" w:hAnsi="Arial" w:cs="Arial"/>
          <w:b w:val="0"/>
          <w:bCs w:val="0"/>
          <w:color w:val="263238"/>
          <w:sz w:val="22"/>
          <w:szCs w:val="22"/>
        </w:rPr>
        <w:t>Castle Hill Growers Market No.1 Pty Limited v AK Fruit &amp; Veg No. 2 Pty Limited [2018] NSWSC 137</w:t>
      </w:r>
    </w:p>
    <w:p w14:paraId="5AC4F971" w14:textId="1E02C821" w:rsidR="009D630F" w:rsidRDefault="009D630F" w:rsidP="000736E7">
      <w:pPr>
        <w:pStyle w:val="ListParagraph"/>
        <w:widowControl/>
        <w:numPr>
          <w:ilvl w:val="0"/>
          <w:numId w:val="8"/>
        </w:numPr>
        <w:spacing w:after="240"/>
        <w:ind w:left="714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Statutory </w:t>
      </w:r>
      <w:proofErr w:type="gramStart"/>
      <w:r>
        <w:rPr>
          <w:rFonts w:ascii="Arial" w:hAnsi="Arial" w:cs="Arial"/>
          <w:sz w:val="22"/>
          <w:szCs w:val="22"/>
        </w:rPr>
        <w:t>Will;</w:t>
      </w:r>
      <w:proofErr w:type="gramEnd"/>
      <w:r>
        <w:rPr>
          <w:rFonts w:ascii="Arial" w:hAnsi="Arial" w:cs="Arial"/>
          <w:sz w:val="22"/>
          <w:szCs w:val="22"/>
        </w:rPr>
        <w:t xml:space="preserve"> Orders made in Chambers by Kunc J; Matthews et al; </w:t>
      </w:r>
      <w:r w:rsidRPr="009D630F">
        <w:rPr>
          <w:rFonts w:ascii="Arial" w:hAnsi="Arial" w:cs="Arial"/>
          <w:sz w:val="22"/>
          <w:szCs w:val="22"/>
        </w:rPr>
        <w:t>2017/255586</w:t>
      </w:r>
    </w:p>
    <w:p w14:paraId="017062D4" w14:textId="51202F57" w:rsidR="009D630F" w:rsidRDefault="000736E7" w:rsidP="000736E7">
      <w:pPr>
        <w:pStyle w:val="ListParagraph"/>
        <w:widowControl/>
        <w:numPr>
          <w:ilvl w:val="0"/>
          <w:numId w:val="8"/>
        </w:numPr>
        <w:spacing w:after="24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4C51CC">
        <w:rPr>
          <w:rFonts w:ascii="Arial" w:hAnsi="Arial" w:cs="Arial"/>
          <w:sz w:val="22"/>
          <w:szCs w:val="22"/>
        </w:rPr>
        <w:t xml:space="preserve">In </w:t>
      </w:r>
      <w:r w:rsidR="009D630F">
        <w:rPr>
          <w:rFonts w:ascii="Arial" w:hAnsi="Arial" w:cs="Arial"/>
          <w:sz w:val="22"/>
          <w:szCs w:val="22"/>
        </w:rPr>
        <w:t>t</w:t>
      </w:r>
      <w:r w:rsidRPr="004C51CC">
        <w:rPr>
          <w:rFonts w:ascii="Arial" w:hAnsi="Arial" w:cs="Arial"/>
          <w:sz w:val="22"/>
          <w:szCs w:val="22"/>
        </w:rPr>
        <w:t>he Matter of Jodegan Pty Limited [2016] NSWSC 1090 (Setting aside a Statutory Demand; genuine dispute).</w:t>
      </w:r>
      <w:r w:rsidR="009D630F">
        <w:rPr>
          <w:rFonts w:ascii="Arial" w:hAnsi="Arial" w:cs="Arial"/>
          <w:sz w:val="22"/>
          <w:szCs w:val="22"/>
        </w:rPr>
        <w:t xml:space="preserve"> </w:t>
      </w:r>
    </w:p>
    <w:p w14:paraId="3D83CF85" w14:textId="393D5847" w:rsidR="000736E7" w:rsidRPr="009D630F" w:rsidRDefault="009D630F" w:rsidP="000736E7">
      <w:pPr>
        <w:pStyle w:val="ListParagraph"/>
        <w:widowControl/>
        <w:numPr>
          <w:ilvl w:val="0"/>
          <w:numId w:val="8"/>
        </w:numPr>
        <w:spacing w:after="240"/>
        <w:ind w:left="714" w:hanging="357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9D630F">
        <w:rPr>
          <w:rStyle w:val="Strong"/>
          <w:rFonts w:ascii="Arial" w:hAnsi="Arial" w:cs="Arial"/>
          <w:b w:val="0"/>
          <w:bCs w:val="0"/>
          <w:color w:val="263238"/>
          <w:sz w:val="22"/>
          <w:szCs w:val="22"/>
        </w:rPr>
        <w:t>In the matter of Jodegan Pty Limited (No 2) [2016] NSWSC 1225</w:t>
      </w:r>
    </w:p>
    <w:p w14:paraId="04BCF158" w14:textId="77777777" w:rsidR="00C762E1" w:rsidRPr="004C51CC" w:rsidRDefault="00C762E1" w:rsidP="000736E7">
      <w:pPr>
        <w:pStyle w:val="ListParagraph"/>
        <w:widowControl/>
        <w:numPr>
          <w:ilvl w:val="0"/>
          <w:numId w:val="8"/>
        </w:numPr>
        <w:spacing w:after="240"/>
        <w:ind w:left="714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Oliver v Oliver-Estate of Oliver [2016] NSWSC (Family Provision)</w:t>
      </w:r>
    </w:p>
    <w:p w14:paraId="5F837E88" w14:textId="77777777" w:rsidR="000736E7" w:rsidRPr="004C51CC" w:rsidRDefault="000736E7" w:rsidP="000736E7">
      <w:pPr>
        <w:pStyle w:val="ListParagraph"/>
        <w:widowControl/>
        <w:numPr>
          <w:ilvl w:val="0"/>
          <w:numId w:val="8"/>
        </w:numPr>
        <w:spacing w:after="24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4C51CC">
        <w:rPr>
          <w:rFonts w:ascii="Arial" w:hAnsi="Arial" w:cs="Arial"/>
          <w:sz w:val="22"/>
          <w:szCs w:val="22"/>
        </w:rPr>
        <w:t>Owners - Strata Plan 11011 v Integrated Project Services Pty Ltd [2015] NSWSC 553 (Injunction; Land; Right of Support to plaintiff’s land and building).</w:t>
      </w:r>
    </w:p>
    <w:p w14:paraId="5299FEC6" w14:textId="77777777" w:rsidR="000736E7" w:rsidRPr="004C51CC" w:rsidRDefault="000736E7" w:rsidP="000736E7">
      <w:pPr>
        <w:pStyle w:val="ListParagraph"/>
        <w:widowControl/>
        <w:numPr>
          <w:ilvl w:val="0"/>
          <w:numId w:val="8"/>
        </w:numPr>
        <w:spacing w:after="240"/>
        <w:ind w:left="714" w:hanging="357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4C51CC">
        <w:rPr>
          <w:rFonts w:ascii="Arial" w:hAnsi="Arial" w:cs="Arial"/>
          <w:sz w:val="22"/>
          <w:szCs w:val="22"/>
        </w:rPr>
        <w:t>The Owners,</w:t>
      </w:r>
      <w:proofErr w:type="gramEnd"/>
      <w:r w:rsidRPr="004C51CC">
        <w:rPr>
          <w:rFonts w:ascii="Arial" w:hAnsi="Arial" w:cs="Arial"/>
          <w:sz w:val="22"/>
          <w:szCs w:val="22"/>
        </w:rPr>
        <w:t xml:space="preserve"> Strata Plan 11011 v Integrated Project Services Pty Ltd (No.2) [2015] NSWSC 554 (Injunction; Land; Right of Support to plaintiff’s land and building).</w:t>
      </w:r>
    </w:p>
    <w:p w14:paraId="78CFC3D3" w14:textId="77777777" w:rsidR="000736E7" w:rsidRPr="004C51CC" w:rsidRDefault="000736E7" w:rsidP="000736E7">
      <w:pPr>
        <w:pStyle w:val="ListParagraph"/>
        <w:widowControl/>
        <w:numPr>
          <w:ilvl w:val="0"/>
          <w:numId w:val="8"/>
        </w:numPr>
        <w:spacing w:after="24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4C51CC">
        <w:rPr>
          <w:rFonts w:ascii="Arial" w:hAnsi="Arial" w:cs="Arial"/>
          <w:sz w:val="22"/>
          <w:szCs w:val="22"/>
        </w:rPr>
        <w:t>Kofoo Sussex Pty Ltd v Commerce Building Pty Ltd [2014] NSWSC 1079. (Relief against Forfeiture).</w:t>
      </w:r>
    </w:p>
    <w:p w14:paraId="559863F2" w14:textId="77777777" w:rsidR="000736E7" w:rsidRPr="004C51CC" w:rsidRDefault="000736E7" w:rsidP="000736E7">
      <w:pPr>
        <w:pStyle w:val="ListParagraph"/>
        <w:widowControl/>
        <w:numPr>
          <w:ilvl w:val="0"/>
          <w:numId w:val="8"/>
        </w:numPr>
        <w:spacing w:after="24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4C51CC">
        <w:rPr>
          <w:rFonts w:ascii="Arial" w:hAnsi="Arial" w:cs="Arial"/>
          <w:sz w:val="22"/>
          <w:szCs w:val="22"/>
        </w:rPr>
        <w:t>Ashrafinia v Ashr</w:t>
      </w:r>
      <w:r>
        <w:rPr>
          <w:rFonts w:ascii="Arial" w:hAnsi="Arial" w:cs="Arial"/>
          <w:sz w:val="22"/>
          <w:szCs w:val="22"/>
        </w:rPr>
        <w:t>a</w:t>
      </w:r>
      <w:r w:rsidRPr="004C51CC">
        <w:rPr>
          <w:rFonts w:ascii="Arial" w:hAnsi="Arial" w:cs="Arial"/>
          <w:sz w:val="22"/>
          <w:szCs w:val="22"/>
        </w:rPr>
        <w:t>finia and Ors [2013] NSWSC 1442 (Trusts; Family Trust; Breaches of Trust).</w:t>
      </w:r>
    </w:p>
    <w:p w14:paraId="523F2323" w14:textId="77777777" w:rsidR="000736E7" w:rsidRPr="004C51CC" w:rsidRDefault="000736E7" w:rsidP="000736E7">
      <w:pPr>
        <w:pStyle w:val="ListParagraph"/>
        <w:widowControl/>
        <w:numPr>
          <w:ilvl w:val="0"/>
          <w:numId w:val="8"/>
        </w:numPr>
        <w:spacing w:after="24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4C51CC">
        <w:rPr>
          <w:rFonts w:ascii="Arial" w:hAnsi="Arial" w:cs="Arial"/>
          <w:sz w:val="22"/>
          <w:szCs w:val="22"/>
        </w:rPr>
        <w:t xml:space="preserve">Amir Ashrafinia v Mohammad Reza Ashrafinia; </w:t>
      </w:r>
      <w:proofErr w:type="spellStart"/>
      <w:r w:rsidRPr="004C51CC">
        <w:rPr>
          <w:rFonts w:ascii="Arial" w:hAnsi="Arial" w:cs="Arial"/>
          <w:sz w:val="22"/>
          <w:szCs w:val="22"/>
        </w:rPr>
        <w:t>Parvaneh</w:t>
      </w:r>
      <w:proofErr w:type="spellEnd"/>
      <w:r w:rsidRPr="004C51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51CC">
        <w:rPr>
          <w:rFonts w:ascii="Arial" w:hAnsi="Arial" w:cs="Arial"/>
          <w:sz w:val="22"/>
          <w:szCs w:val="22"/>
        </w:rPr>
        <w:t>Karami</w:t>
      </w:r>
      <w:proofErr w:type="spellEnd"/>
      <w:r w:rsidRPr="004C51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51CC">
        <w:rPr>
          <w:rFonts w:ascii="Arial" w:hAnsi="Arial" w:cs="Arial"/>
          <w:sz w:val="22"/>
          <w:szCs w:val="22"/>
        </w:rPr>
        <w:t>Fakhrabadi</w:t>
      </w:r>
      <w:proofErr w:type="spellEnd"/>
      <w:r w:rsidRPr="004C51CC">
        <w:rPr>
          <w:rFonts w:ascii="Arial" w:hAnsi="Arial" w:cs="Arial"/>
          <w:sz w:val="22"/>
          <w:szCs w:val="22"/>
        </w:rPr>
        <w:t xml:space="preserve"> v Mohammad Reza Ashrafinia [2013] NSWSC 1820 (Variation of Orders).</w:t>
      </w:r>
    </w:p>
    <w:p w14:paraId="5B33E8F4" w14:textId="77777777" w:rsidR="000736E7" w:rsidRPr="004C51CC" w:rsidRDefault="000736E7" w:rsidP="000736E7">
      <w:pPr>
        <w:pStyle w:val="ListParagraph"/>
        <w:widowControl/>
        <w:numPr>
          <w:ilvl w:val="0"/>
          <w:numId w:val="8"/>
        </w:numPr>
        <w:spacing w:after="24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4C51CC">
        <w:rPr>
          <w:rFonts w:ascii="Arial" w:hAnsi="Arial" w:cs="Arial"/>
          <w:sz w:val="22"/>
          <w:szCs w:val="22"/>
        </w:rPr>
        <w:t xml:space="preserve">Horton v </w:t>
      </w:r>
      <w:proofErr w:type="spellStart"/>
      <w:r w:rsidRPr="004C51CC">
        <w:rPr>
          <w:rFonts w:ascii="Arial" w:hAnsi="Arial" w:cs="Arial"/>
          <w:sz w:val="22"/>
          <w:szCs w:val="22"/>
        </w:rPr>
        <w:t>Palerang</w:t>
      </w:r>
      <w:proofErr w:type="spellEnd"/>
      <w:r w:rsidRPr="004C51CC">
        <w:rPr>
          <w:rFonts w:ascii="Arial" w:hAnsi="Arial" w:cs="Arial"/>
          <w:sz w:val="22"/>
          <w:szCs w:val="22"/>
        </w:rPr>
        <w:t xml:space="preserve"> Council [2013] NSWLEC 102 (LEC; Summary Dismissal).</w:t>
      </w:r>
    </w:p>
    <w:p w14:paraId="717CC06A" w14:textId="77777777" w:rsidR="00351527" w:rsidRPr="004C51CC" w:rsidRDefault="00351527" w:rsidP="00351527">
      <w:pPr>
        <w:pStyle w:val="ListParagraph"/>
        <w:widowControl/>
        <w:numPr>
          <w:ilvl w:val="0"/>
          <w:numId w:val="8"/>
        </w:numPr>
        <w:spacing w:after="24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4C51CC">
        <w:rPr>
          <w:rFonts w:ascii="Arial" w:hAnsi="Arial" w:cs="Arial"/>
          <w:sz w:val="22"/>
          <w:szCs w:val="22"/>
        </w:rPr>
        <w:t xml:space="preserve">Horton v </w:t>
      </w:r>
      <w:proofErr w:type="spellStart"/>
      <w:r w:rsidRPr="004C51CC">
        <w:rPr>
          <w:rFonts w:ascii="Arial" w:hAnsi="Arial" w:cs="Arial"/>
          <w:sz w:val="22"/>
          <w:szCs w:val="22"/>
        </w:rPr>
        <w:t>Palerang</w:t>
      </w:r>
      <w:proofErr w:type="spellEnd"/>
      <w:r w:rsidRPr="004C51CC">
        <w:rPr>
          <w:rFonts w:ascii="Arial" w:hAnsi="Arial" w:cs="Arial"/>
          <w:sz w:val="22"/>
          <w:szCs w:val="22"/>
        </w:rPr>
        <w:t xml:space="preserve"> Council [2013] NSWLEC 200 (LEC – Summary Dismissal).</w:t>
      </w:r>
    </w:p>
    <w:p w14:paraId="59EE924D" w14:textId="77777777" w:rsidR="00351527" w:rsidRPr="004C51CC" w:rsidRDefault="00351527" w:rsidP="00351527">
      <w:pPr>
        <w:pStyle w:val="ListParagraph"/>
        <w:widowControl/>
        <w:numPr>
          <w:ilvl w:val="0"/>
          <w:numId w:val="8"/>
        </w:numPr>
        <w:spacing w:after="24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4C51CC">
        <w:rPr>
          <w:rFonts w:ascii="Arial" w:hAnsi="Arial" w:cs="Arial"/>
          <w:sz w:val="22"/>
          <w:szCs w:val="22"/>
        </w:rPr>
        <w:t xml:space="preserve">Brown v Ds and </w:t>
      </w:r>
      <w:proofErr w:type="spellStart"/>
      <w:r w:rsidRPr="004C51CC">
        <w:rPr>
          <w:rFonts w:ascii="Arial" w:hAnsi="Arial" w:cs="Arial"/>
          <w:sz w:val="22"/>
          <w:szCs w:val="22"/>
        </w:rPr>
        <w:t>Mj</w:t>
      </w:r>
      <w:proofErr w:type="spellEnd"/>
      <w:r w:rsidRPr="004C51CC">
        <w:rPr>
          <w:rFonts w:ascii="Arial" w:hAnsi="Arial" w:cs="Arial"/>
          <w:sz w:val="22"/>
          <w:szCs w:val="22"/>
        </w:rPr>
        <w:t xml:space="preserve"> Batten T/As Pane </w:t>
      </w:r>
      <w:proofErr w:type="gramStart"/>
      <w:r w:rsidRPr="004C51CC">
        <w:rPr>
          <w:rFonts w:ascii="Arial" w:hAnsi="Arial" w:cs="Arial"/>
          <w:sz w:val="22"/>
          <w:szCs w:val="22"/>
        </w:rPr>
        <w:t>In</w:t>
      </w:r>
      <w:proofErr w:type="gramEnd"/>
      <w:r w:rsidRPr="004C51CC">
        <w:rPr>
          <w:rFonts w:ascii="Arial" w:hAnsi="Arial" w:cs="Arial"/>
          <w:sz w:val="22"/>
          <w:szCs w:val="22"/>
        </w:rPr>
        <w:t xml:space="preserve"> the Glass [2012] FMCA 296 (unfair Dismissal; Federal Magistrates Court).</w:t>
      </w:r>
    </w:p>
    <w:p w14:paraId="306F6E1D" w14:textId="77777777" w:rsidR="00351527" w:rsidRPr="004C51CC" w:rsidRDefault="00351527" w:rsidP="00351527">
      <w:pPr>
        <w:pStyle w:val="ListParagraph"/>
        <w:widowControl/>
        <w:numPr>
          <w:ilvl w:val="0"/>
          <w:numId w:val="8"/>
        </w:numPr>
        <w:spacing w:after="24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4C51CC">
        <w:rPr>
          <w:rFonts w:ascii="Arial" w:hAnsi="Arial" w:cs="Arial"/>
          <w:sz w:val="22"/>
          <w:szCs w:val="22"/>
        </w:rPr>
        <w:t>In the Matter of Pro Carwash Pty Ltd [2012] NSWSC 1289 (Statutory Demand and setting aside)</w:t>
      </w:r>
    </w:p>
    <w:p w14:paraId="3DE015B8" w14:textId="77777777" w:rsidR="00351527" w:rsidRPr="004C51CC" w:rsidRDefault="00351527" w:rsidP="00351527">
      <w:pPr>
        <w:pStyle w:val="ListParagraph"/>
        <w:widowControl/>
        <w:numPr>
          <w:ilvl w:val="0"/>
          <w:numId w:val="8"/>
        </w:numPr>
        <w:spacing w:after="24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4C51CC">
        <w:rPr>
          <w:rFonts w:ascii="Arial" w:hAnsi="Arial" w:cs="Arial"/>
          <w:sz w:val="22"/>
          <w:szCs w:val="22"/>
        </w:rPr>
        <w:t xml:space="preserve">Commonwealth Bank of Australia v Horvat (also known as </w:t>
      </w:r>
      <w:proofErr w:type="spellStart"/>
      <w:r w:rsidRPr="004C51CC">
        <w:rPr>
          <w:rFonts w:ascii="Arial" w:hAnsi="Arial" w:cs="Arial"/>
          <w:sz w:val="22"/>
          <w:szCs w:val="22"/>
        </w:rPr>
        <w:t>Palasty</w:t>
      </w:r>
      <w:proofErr w:type="spellEnd"/>
      <w:r w:rsidRPr="004C51CC">
        <w:rPr>
          <w:rFonts w:ascii="Arial" w:hAnsi="Arial" w:cs="Arial"/>
          <w:sz w:val="22"/>
          <w:szCs w:val="22"/>
        </w:rPr>
        <w:t>) [2012] NSWSC 243 (writ of possession)</w:t>
      </w:r>
    </w:p>
    <w:p w14:paraId="58ADFCBF" w14:textId="77777777" w:rsidR="000736E7" w:rsidRPr="004C51CC" w:rsidRDefault="000736E7" w:rsidP="000736E7">
      <w:pPr>
        <w:pStyle w:val="ListParagraph"/>
        <w:widowControl/>
        <w:numPr>
          <w:ilvl w:val="0"/>
          <w:numId w:val="8"/>
        </w:numPr>
        <w:spacing w:after="24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4C51CC">
        <w:rPr>
          <w:rFonts w:ascii="Arial" w:hAnsi="Arial" w:cs="Arial"/>
          <w:sz w:val="22"/>
          <w:szCs w:val="22"/>
        </w:rPr>
        <w:t xml:space="preserve">De Meyrick v </w:t>
      </w:r>
      <w:proofErr w:type="spellStart"/>
      <w:r w:rsidRPr="004C51CC">
        <w:rPr>
          <w:rFonts w:ascii="Arial" w:hAnsi="Arial" w:cs="Arial"/>
          <w:sz w:val="22"/>
          <w:szCs w:val="22"/>
        </w:rPr>
        <w:t>Dimitriou</w:t>
      </w:r>
      <w:proofErr w:type="spellEnd"/>
      <w:r w:rsidRPr="004C51CC">
        <w:rPr>
          <w:rFonts w:ascii="Arial" w:hAnsi="Arial" w:cs="Arial"/>
          <w:sz w:val="22"/>
          <w:szCs w:val="22"/>
        </w:rPr>
        <w:t xml:space="preserve"> [2011] NSWSC 1291 (Caveat; Interim and Final Relief).</w:t>
      </w:r>
    </w:p>
    <w:p w14:paraId="25C6217A" w14:textId="77777777" w:rsidR="000736E7" w:rsidRPr="004C51CC" w:rsidRDefault="000736E7" w:rsidP="000736E7">
      <w:pPr>
        <w:pStyle w:val="ListParagraph"/>
        <w:widowControl/>
        <w:numPr>
          <w:ilvl w:val="0"/>
          <w:numId w:val="8"/>
        </w:numPr>
        <w:spacing w:after="24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4C51CC">
        <w:rPr>
          <w:rFonts w:ascii="Arial" w:hAnsi="Arial" w:cs="Arial"/>
          <w:bCs/>
          <w:sz w:val="22"/>
          <w:szCs w:val="22"/>
        </w:rPr>
        <w:t>Supercar International holdings Ltd and Others v Timothy Sommers and Another -(2011) 84 ACSR 466 (Directors Duties; Oppressive Conduct; Winding up).</w:t>
      </w:r>
    </w:p>
    <w:p w14:paraId="3CFF02FD" w14:textId="77777777" w:rsidR="000736E7" w:rsidRPr="004C51CC" w:rsidRDefault="000736E7" w:rsidP="000736E7">
      <w:pPr>
        <w:pStyle w:val="ListParagraph"/>
        <w:widowControl/>
        <w:numPr>
          <w:ilvl w:val="0"/>
          <w:numId w:val="8"/>
        </w:numPr>
        <w:spacing w:after="24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4C51CC">
        <w:rPr>
          <w:rFonts w:ascii="Arial" w:hAnsi="Arial" w:cs="Arial"/>
          <w:sz w:val="22"/>
          <w:szCs w:val="22"/>
        </w:rPr>
        <w:t>Re Stefania [2011] NSWSC 1603 (Appeal from the Guardianship Tribunal).</w:t>
      </w:r>
    </w:p>
    <w:p w14:paraId="1E226A32" w14:textId="77777777" w:rsidR="00351527" w:rsidRPr="004C51CC" w:rsidRDefault="00351527" w:rsidP="00351527">
      <w:pPr>
        <w:pStyle w:val="ListParagraph"/>
        <w:widowControl/>
        <w:numPr>
          <w:ilvl w:val="0"/>
          <w:numId w:val="8"/>
        </w:numPr>
        <w:spacing w:after="240"/>
        <w:ind w:left="714" w:hanging="357"/>
        <w:contextualSpacing w:val="0"/>
        <w:rPr>
          <w:rFonts w:ascii="Arial" w:hAnsi="Arial" w:cs="Arial"/>
          <w:sz w:val="22"/>
          <w:szCs w:val="22"/>
        </w:rPr>
      </w:pPr>
      <w:proofErr w:type="spellStart"/>
      <w:r w:rsidRPr="004C51CC">
        <w:rPr>
          <w:rFonts w:ascii="Arial" w:hAnsi="Arial" w:cs="Arial"/>
          <w:sz w:val="22"/>
          <w:szCs w:val="22"/>
        </w:rPr>
        <w:t>Pogorzelska</w:t>
      </w:r>
      <w:proofErr w:type="spellEnd"/>
      <w:r w:rsidRPr="004C51CC">
        <w:rPr>
          <w:rFonts w:ascii="Arial" w:hAnsi="Arial" w:cs="Arial"/>
          <w:sz w:val="22"/>
          <w:szCs w:val="22"/>
        </w:rPr>
        <w:t xml:space="preserve"> v Kazas-Rogaris [2010] NSWSC 1436 (Contempt; Removal of Executrix/Trustee).</w:t>
      </w:r>
    </w:p>
    <w:p w14:paraId="2950C22D" w14:textId="77777777" w:rsidR="000736E7" w:rsidRPr="004C51CC" w:rsidRDefault="000736E7" w:rsidP="000736E7">
      <w:pPr>
        <w:pStyle w:val="ListParagraph"/>
        <w:widowControl/>
        <w:numPr>
          <w:ilvl w:val="0"/>
          <w:numId w:val="8"/>
        </w:numPr>
        <w:spacing w:after="24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4C51CC">
        <w:rPr>
          <w:rFonts w:ascii="Arial" w:hAnsi="Arial" w:cs="Arial"/>
          <w:sz w:val="22"/>
          <w:szCs w:val="22"/>
        </w:rPr>
        <w:t xml:space="preserve">Isabel </w:t>
      </w:r>
      <w:proofErr w:type="spellStart"/>
      <w:r w:rsidRPr="004C51CC">
        <w:rPr>
          <w:rFonts w:ascii="Arial" w:hAnsi="Arial" w:cs="Arial"/>
          <w:sz w:val="22"/>
          <w:szCs w:val="22"/>
        </w:rPr>
        <w:t>Nohra</w:t>
      </w:r>
      <w:proofErr w:type="spellEnd"/>
      <w:r w:rsidRPr="004C51CC">
        <w:rPr>
          <w:rFonts w:ascii="Arial" w:hAnsi="Arial" w:cs="Arial"/>
          <w:sz w:val="22"/>
          <w:szCs w:val="22"/>
        </w:rPr>
        <w:t xml:space="preserve"> v Target Australia Pty Limited</w:t>
      </w:r>
      <w:r w:rsidR="00351527">
        <w:rPr>
          <w:rFonts w:ascii="Arial" w:hAnsi="Arial" w:cs="Arial"/>
          <w:sz w:val="22"/>
          <w:szCs w:val="22"/>
        </w:rPr>
        <w:t xml:space="preserve"> </w:t>
      </w:r>
      <w:r w:rsidRPr="004C51CC">
        <w:rPr>
          <w:rFonts w:ascii="Arial" w:hAnsi="Arial" w:cs="Arial"/>
          <w:sz w:val="22"/>
          <w:szCs w:val="22"/>
        </w:rPr>
        <w:t>[2010] FWA 6857 (Unfair Dismissal).</w:t>
      </w:r>
    </w:p>
    <w:p w14:paraId="1A36132A" w14:textId="77777777" w:rsidR="000736E7" w:rsidRPr="004C51CC" w:rsidRDefault="000736E7" w:rsidP="000736E7">
      <w:pPr>
        <w:pStyle w:val="ListParagraph"/>
        <w:widowControl/>
        <w:numPr>
          <w:ilvl w:val="0"/>
          <w:numId w:val="8"/>
        </w:numPr>
        <w:spacing w:after="24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4C51CC">
        <w:rPr>
          <w:rFonts w:ascii="Arial" w:hAnsi="Arial" w:cs="Arial"/>
          <w:sz w:val="22"/>
          <w:szCs w:val="22"/>
        </w:rPr>
        <w:t>Tamicka Dover-Ray v Real Insurance Pty Ltd [2010] FWAFB 2670 (Fair Work Australia Full Bench Appeal).</w:t>
      </w:r>
    </w:p>
    <w:p w14:paraId="2789EB6E" w14:textId="77777777" w:rsidR="000736E7" w:rsidRPr="004C51CC" w:rsidRDefault="000736E7" w:rsidP="000736E7">
      <w:pPr>
        <w:pStyle w:val="ListParagraph"/>
        <w:widowControl/>
        <w:numPr>
          <w:ilvl w:val="0"/>
          <w:numId w:val="8"/>
        </w:numPr>
        <w:spacing w:after="24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4C51CC">
        <w:rPr>
          <w:rFonts w:ascii="Arial" w:hAnsi="Arial" w:cs="Arial"/>
          <w:sz w:val="22"/>
          <w:szCs w:val="22"/>
        </w:rPr>
        <w:t>La Trobe Asset Management Australia Pty Ltd v Hajar and Ors [2009] NSWSC 1413 (review of Registrar’s decision; summary dismissal)</w:t>
      </w:r>
    </w:p>
    <w:p w14:paraId="7119A523" w14:textId="77777777" w:rsidR="000736E7" w:rsidRPr="004C51CC" w:rsidRDefault="000736E7" w:rsidP="000736E7">
      <w:pPr>
        <w:pStyle w:val="ListParagraph"/>
        <w:widowControl/>
        <w:numPr>
          <w:ilvl w:val="0"/>
          <w:numId w:val="8"/>
        </w:numPr>
        <w:spacing w:after="24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4C51CC">
        <w:rPr>
          <w:rFonts w:ascii="Arial" w:hAnsi="Arial" w:cs="Arial"/>
          <w:sz w:val="22"/>
          <w:szCs w:val="22"/>
        </w:rPr>
        <w:t>Cockatoo Ridge Wines Ltd v Naked Wines Direct Pty Ltd [2006] NSWSC 1074 (Costs; Wind up).</w:t>
      </w:r>
    </w:p>
    <w:p w14:paraId="7FE1292C" w14:textId="77777777" w:rsidR="005A3F3A" w:rsidRDefault="005A3F3A" w:rsidP="005A3F3A">
      <w:pPr>
        <w:spacing w:after="120"/>
        <w:jc w:val="both"/>
        <w:rPr>
          <w:b/>
          <w:sz w:val="22"/>
          <w:lang w:val="en-GB"/>
        </w:rPr>
      </w:pPr>
      <w:r>
        <w:rPr>
          <w:b/>
          <w:sz w:val="22"/>
          <w:lang w:val="en-GB"/>
        </w:rPr>
        <w:t>April 2009 to present: Barrister at Law:</w:t>
      </w:r>
    </w:p>
    <w:p w14:paraId="7BF567C1" w14:textId="327A88C1" w:rsidR="005A3F3A" w:rsidRDefault="000B7DE3" w:rsidP="005A3F3A">
      <w:pPr>
        <w:spacing w:after="120"/>
        <w:jc w:val="both"/>
        <w:rPr>
          <w:sz w:val="22"/>
          <w:lang w:val="en-GB"/>
        </w:rPr>
      </w:pPr>
      <w:r>
        <w:rPr>
          <w:sz w:val="22"/>
          <w:lang w:val="en-GB"/>
        </w:rPr>
        <w:t>After passing the bar exams and course, I commenced my readership at 4 Selborne Chambers in April 2009.</w:t>
      </w:r>
      <w:r w:rsidR="00D12EC6">
        <w:rPr>
          <w:sz w:val="22"/>
          <w:lang w:val="en-GB"/>
        </w:rPr>
        <w:t xml:space="preserve">  I have successfully completed the College of Law NMAS Mediators Course and NMAS Accreditation.</w:t>
      </w:r>
    </w:p>
    <w:p w14:paraId="0B28DAC8" w14:textId="77777777" w:rsidR="005A3F3A" w:rsidRDefault="005A3F3A" w:rsidP="005A3F3A">
      <w:pPr>
        <w:spacing w:after="120"/>
        <w:jc w:val="both"/>
        <w:rPr>
          <w:b/>
          <w:sz w:val="22"/>
          <w:lang w:val="en-GB"/>
        </w:rPr>
      </w:pPr>
    </w:p>
    <w:p w14:paraId="395DDD4F" w14:textId="77777777" w:rsidR="005A3F3A" w:rsidRDefault="005A3F3A" w:rsidP="005A3F3A">
      <w:pPr>
        <w:spacing w:after="120"/>
        <w:jc w:val="both"/>
        <w:rPr>
          <w:b/>
          <w:sz w:val="22"/>
          <w:lang w:val="en-GB"/>
        </w:rPr>
      </w:pPr>
      <w:r>
        <w:rPr>
          <w:b/>
          <w:sz w:val="22"/>
          <w:lang w:val="en-GB"/>
        </w:rPr>
        <w:t>February 2003 – June 2008: Lawyer with The Argyle Partnership:</w:t>
      </w:r>
    </w:p>
    <w:p w14:paraId="60FFF172" w14:textId="77777777" w:rsidR="002D7164" w:rsidRDefault="005A3F3A">
      <w:pPr>
        <w:pStyle w:val="Single11"/>
        <w:jc w:val="both"/>
      </w:pPr>
      <w:r>
        <w:t xml:space="preserve">I worked in the Commercial Litigation team that practiced in a wide variety of commercial transactions, </w:t>
      </w:r>
      <w:proofErr w:type="gramStart"/>
      <w:r>
        <w:t>advices</w:t>
      </w:r>
      <w:proofErr w:type="gramEnd"/>
      <w:r>
        <w:t xml:space="preserve"> and litigation.  The litigation component required appearances in most state and federal courts including tribunals.  After achieving the status of Senior Associate, I was called to the New South Wales Bar in 2009.</w:t>
      </w:r>
    </w:p>
    <w:p w14:paraId="55DE82C5" w14:textId="77777777" w:rsidR="005A3F3A" w:rsidRDefault="005A3F3A">
      <w:pPr>
        <w:pStyle w:val="Single11"/>
        <w:jc w:val="both"/>
      </w:pPr>
    </w:p>
    <w:p w14:paraId="544BB008" w14:textId="77777777" w:rsidR="005A3F3A" w:rsidRDefault="005A3F3A" w:rsidP="005A3F3A">
      <w:pPr>
        <w:widowControl w:val="0"/>
        <w:tabs>
          <w:tab w:val="left" w:pos="5954"/>
          <w:tab w:val="left" w:pos="8789"/>
        </w:tabs>
        <w:autoSpaceDE w:val="0"/>
        <w:autoSpaceDN w:val="0"/>
        <w:adjustRightInd w:val="0"/>
        <w:spacing w:after="2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Whilst at the Argyle Partnership, I instructed Counsel in numerous matters including</w:t>
      </w:r>
      <w:r w:rsidRPr="005A3F3A">
        <w:rPr>
          <w:rFonts w:cs="Arial"/>
          <w:sz w:val="22"/>
          <w:szCs w:val="22"/>
        </w:rPr>
        <w:t xml:space="preserve"> the Court of Appeal, Supreme, District, Local and Federal Courts, Industrial Relations Commission, Administrative Appeal Tribunal, Consumer, Trader and Tenancy Tribunal</w:t>
      </w:r>
      <w:r>
        <w:rPr>
          <w:rFonts w:cs="Arial"/>
          <w:sz w:val="22"/>
          <w:szCs w:val="22"/>
        </w:rPr>
        <w:t xml:space="preserve"> (as it was then).</w:t>
      </w:r>
      <w:r w:rsidRPr="005A3F3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I regularly appeared as an advocate in the Supreme, District and Local Courts of NSW, including the Federal Magistrates Court. </w:t>
      </w:r>
    </w:p>
    <w:p w14:paraId="76AD1565" w14:textId="77777777" w:rsidR="00FF3986" w:rsidRDefault="005A3F3A" w:rsidP="005A3F3A">
      <w:pPr>
        <w:widowControl w:val="0"/>
        <w:tabs>
          <w:tab w:val="left" w:pos="5954"/>
          <w:tab w:val="left" w:pos="8789"/>
        </w:tabs>
        <w:autoSpaceDE w:val="0"/>
        <w:autoSpaceDN w:val="0"/>
        <w:adjustRightInd w:val="0"/>
        <w:spacing w:after="2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 often prepared matters </w:t>
      </w:r>
      <w:r w:rsidR="00FF3986">
        <w:rPr>
          <w:rFonts w:cs="Arial"/>
          <w:sz w:val="22"/>
          <w:szCs w:val="22"/>
        </w:rPr>
        <w:t xml:space="preserve">for Counsel </w:t>
      </w:r>
      <w:r>
        <w:rPr>
          <w:rFonts w:cs="Arial"/>
          <w:sz w:val="22"/>
          <w:szCs w:val="22"/>
        </w:rPr>
        <w:t xml:space="preserve">in readiness for a hearing including pleadings, affidavits, </w:t>
      </w:r>
      <w:proofErr w:type="gramStart"/>
      <w:r>
        <w:rPr>
          <w:rFonts w:cs="Arial"/>
          <w:sz w:val="22"/>
          <w:szCs w:val="22"/>
        </w:rPr>
        <w:t>objections</w:t>
      </w:r>
      <w:proofErr w:type="gramEnd"/>
      <w:r>
        <w:rPr>
          <w:rFonts w:cs="Arial"/>
          <w:sz w:val="22"/>
          <w:szCs w:val="22"/>
        </w:rPr>
        <w:t xml:space="preserve"> and submissions (in draft)</w:t>
      </w:r>
      <w:r w:rsidR="00FF3986">
        <w:rPr>
          <w:rFonts w:cs="Arial"/>
          <w:sz w:val="22"/>
          <w:szCs w:val="22"/>
        </w:rPr>
        <w:t>.</w:t>
      </w:r>
    </w:p>
    <w:p w14:paraId="691AB282" w14:textId="77777777" w:rsidR="00FF3986" w:rsidRDefault="00FF3986" w:rsidP="005A3F3A">
      <w:pPr>
        <w:widowControl w:val="0"/>
        <w:tabs>
          <w:tab w:val="left" w:pos="5954"/>
          <w:tab w:val="left" w:pos="8789"/>
        </w:tabs>
        <w:autoSpaceDE w:val="0"/>
        <w:autoSpaceDN w:val="0"/>
        <w:adjustRightInd w:val="0"/>
        <w:spacing w:after="2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At times I </w:t>
      </w:r>
      <w:proofErr w:type="gramStart"/>
      <w:r>
        <w:rPr>
          <w:rFonts w:cs="Arial"/>
          <w:sz w:val="22"/>
          <w:szCs w:val="22"/>
        </w:rPr>
        <w:t>a main focus</w:t>
      </w:r>
      <w:proofErr w:type="gramEnd"/>
      <w:r>
        <w:rPr>
          <w:rFonts w:cs="Arial"/>
          <w:sz w:val="22"/>
          <w:szCs w:val="22"/>
        </w:rPr>
        <w:t xml:space="preserve"> centered </w:t>
      </w:r>
      <w:r w:rsidR="005A3F3A" w:rsidRPr="005A3F3A">
        <w:rPr>
          <w:rFonts w:cs="Arial"/>
          <w:sz w:val="22"/>
          <w:szCs w:val="22"/>
        </w:rPr>
        <w:t xml:space="preserve">commercial litigation and dispute resolution </w:t>
      </w:r>
      <w:r>
        <w:rPr>
          <w:rFonts w:cs="Arial"/>
          <w:sz w:val="22"/>
          <w:szCs w:val="22"/>
        </w:rPr>
        <w:t xml:space="preserve">was </w:t>
      </w:r>
      <w:r w:rsidR="005A3F3A" w:rsidRPr="005A3F3A">
        <w:rPr>
          <w:rFonts w:cs="Arial"/>
          <w:sz w:val="22"/>
          <w:szCs w:val="22"/>
        </w:rPr>
        <w:t>with respect of Financial Services, Contractual and negligent investment advices</w:t>
      </w:r>
      <w:r>
        <w:rPr>
          <w:rFonts w:cs="Arial"/>
          <w:sz w:val="22"/>
          <w:szCs w:val="22"/>
        </w:rPr>
        <w:t>, d</w:t>
      </w:r>
      <w:r w:rsidR="005A3F3A" w:rsidRPr="005A3F3A">
        <w:rPr>
          <w:rFonts w:cs="Arial"/>
          <w:sz w:val="22"/>
          <w:szCs w:val="22"/>
        </w:rPr>
        <w:t xml:space="preserve">ebt recovery matters </w:t>
      </w:r>
      <w:r>
        <w:rPr>
          <w:rFonts w:cs="Arial"/>
          <w:sz w:val="22"/>
          <w:szCs w:val="22"/>
        </w:rPr>
        <w:t>and c</w:t>
      </w:r>
      <w:r w:rsidRPr="005A3F3A">
        <w:rPr>
          <w:rFonts w:cs="Arial"/>
          <w:sz w:val="22"/>
          <w:szCs w:val="22"/>
        </w:rPr>
        <w:t xml:space="preserve">ontractual </w:t>
      </w:r>
      <w:r>
        <w:rPr>
          <w:rFonts w:cs="Arial"/>
          <w:sz w:val="22"/>
          <w:szCs w:val="22"/>
        </w:rPr>
        <w:t>d</w:t>
      </w:r>
      <w:r w:rsidRPr="005A3F3A">
        <w:rPr>
          <w:rFonts w:cs="Arial"/>
          <w:sz w:val="22"/>
          <w:szCs w:val="22"/>
        </w:rPr>
        <w:t xml:space="preserve">isputes </w:t>
      </w:r>
      <w:r w:rsidR="005A3F3A" w:rsidRPr="005A3F3A">
        <w:rPr>
          <w:rFonts w:cs="Arial"/>
          <w:sz w:val="22"/>
          <w:szCs w:val="22"/>
        </w:rPr>
        <w:t>in the Local, District and Supreme Courts</w:t>
      </w:r>
      <w:r>
        <w:rPr>
          <w:rFonts w:cs="Arial"/>
          <w:sz w:val="22"/>
          <w:szCs w:val="22"/>
        </w:rPr>
        <w:t xml:space="preserve">. </w:t>
      </w:r>
    </w:p>
    <w:p w14:paraId="403F17F1" w14:textId="77777777" w:rsidR="00FF3986" w:rsidRDefault="00FF3986" w:rsidP="005A3F3A">
      <w:pPr>
        <w:widowControl w:val="0"/>
        <w:tabs>
          <w:tab w:val="left" w:pos="5954"/>
          <w:tab w:val="left" w:pos="8789"/>
        </w:tabs>
        <w:autoSpaceDE w:val="0"/>
        <w:autoSpaceDN w:val="0"/>
        <w:adjustRightInd w:val="0"/>
        <w:spacing w:after="2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 a panel of solicitors for the ATO at times, I regularly appeared and prosecuted</w:t>
      </w:r>
      <w:r w:rsidR="005A3F3A" w:rsidRPr="005A3F3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b</w:t>
      </w:r>
      <w:r w:rsidR="005A3F3A" w:rsidRPr="005A3F3A">
        <w:rPr>
          <w:rFonts w:cs="Arial"/>
          <w:sz w:val="22"/>
          <w:szCs w:val="22"/>
        </w:rPr>
        <w:t xml:space="preserve">ankruptcy </w:t>
      </w:r>
      <w:r>
        <w:rPr>
          <w:rFonts w:cs="Arial"/>
          <w:sz w:val="22"/>
          <w:szCs w:val="22"/>
        </w:rPr>
        <w:t>and company wind ups</w:t>
      </w:r>
      <w:r w:rsidR="005A3F3A" w:rsidRPr="005A3F3A">
        <w:rPr>
          <w:rFonts w:cs="Arial"/>
          <w:sz w:val="22"/>
          <w:szCs w:val="22"/>
        </w:rPr>
        <w:t xml:space="preserve"> in the Federal Court</w:t>
      </w:r>
      <w:r>
        <w:rPr>
          <w:rFonts w:cs="Arial"/>
          <w:sz w:val="22"/>
          <w:szCs w:val="22"/>
        </w:rPr>
        <w:t>,</w:t>
      </w:r>
      <w:r w:rsidR="005A3F3A" w:rsidRPr="005A3F3A">
        <w:rPr>
          <w:rFonts w:cs="Arial"/>
          <w:sz w:val="22"/>
          <w:szCs w:val="22"/>
        </w:rPr>
        <w:t xml:space="preserve"> Federal Magistrates Court </w:t>
      </w:r>
      <w:r>
        <w:rPr>
          <w:rFonts w:cs="Arial"/>
          <w:sz w:val="22"/>
          <w:szCs w:val="22"/>
        </w:rPr>
        <w:t xml:space="preserve">and Supreme Court of NSW. </w:t>
      </w:r>
    </w:p>
    <w:p w14:paraId="4F8655E9" w14:textId="77777777" w:rsidR="005A3F3A" w:rsidRPr="005A3F3A" w:rsidRDefault="00FF3986" w:rsidP="005A3F3A">
      <w:pPr>
        <w:widowControl w:val="0"/>
        <w:tabs>
          <w:tab w:val="left" w:pos="5954"/>
          <w:tab w:val="left" w:pos="8789"/>
        </w:tabs>
        <w:autoSpaceDE w:val="0"/>
        <w:autoSpaceDN w:val="0"/>
        <w:adjustRightInd w:val="0"/>
        <w:spacing w:after="24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At other times I often appeared for clients with respect to</w:t>
      </w:r>
      <w:r w:rsidR="005A3F3A" w:rsidRPr="005A3F3A">
        <w:rPr>
          <w:rFonts w:cs="Arial"/>
          <w:sz w:val="22"/>
          <w:szCs w:val="22"/>
        </w:rPr>
        <w:t xml:space="preserve"> Employment Law </w:t>
      </w:r>
      <w:r>
        <w:rPr>
          <w:rFonts w:cs="Arial"/>
          <w:sz w:val="22"/>
          <w:szCs w:val="22"/>
        </w:rPr>
        <w:t>in the NSW Industrial Relations Commission.</w:t>
      </w:r>
    </w:p>
    <w:p w14:paraId="6F9AB1EB" w14:textId="77777777" w:rsidR="00AE46A5" w:rsidRDefault="00AE46A5">
      <w:pPr>
        <w:jc w:val="both"/>
        <w:rPr>
          <w:b/>
          <w:sz w:val="22"/>
          <w:lang w:val="en-GB"/>
        </w:rPr>
      </w:pPr>
    </w:p>
    <w:p w14:paraId="1CA88241" w14:textId="77777777" w:rsidR="00AE46A5" w:rsidRDefault="00AE46A5" w:rsidP="00DF4CB6">
      <w:pPr>
        <w:spacing w:after="120"/>
        <w:jc w:val="both"/>
        <w:rPr>
          <w:b/>
          <w:sz w:val="22"/>
          <w:lang w:val="en-GB"/>
        </w:rPr>
      </w:pPr>
      <w:r>
        <w:rPr>
          <w:b/>
          <w:sz w:val="22"/>
          <w:lang w:val="en-GB"/>
        </w:rPr>
        <w:t>April 2002 – January 2003: Lawyer with Dilanchian Lawyers &amp; Consultants</w:t>
      </w:r>
      <w:r w:rsidR="00DF4CB6">
        <w:rPr>
          <w:b/>
          <w:sz w:val="22"/>
          <w:lang w:val="en-GB"/>
        </w:rPr>
        <w:t>:</w:t>
      </w:r>
    </w:p>
    <w:p w14:paraId="0799B116" w14:textId="77777777" w:rsidR="00AE46A5" w:rsidRDefault="00AE46A5">
      <w:pPr>
        <w:pStyle w:val="BodyText"/>
        <w:ind w:right="-168"/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Attending to commercial law matters with an emphasis on commercial law, litigation, dispute resolution and intellectual property.</w:t>
      </w:r>
    </w:p>
    <w:p w14:paraId="2E2B58AF" w14:textId="77777777" w:rsidR="00AE46A5" w:rsidRDefault="00AE46A5">
      <w:pPr>
        <w:pStyle w:val="BodyText"/>
        <w:ind w:right="-168"/>
        <w:jc w:val="both"/>
        <w:rPr>
          <w:rFonts w:ascii="Arial" w:hAnsi="Arial" w:cs="Arial"/>
          <w:sz w:val="22"/>
          <w:lang w:val="en-GB"/>
        </w:rPr>
      </w:pPr>
    </w:p>
    <w:p w14:paraId="4FF5F42F" w14:textId="77777777" w:rsidR="00AE46A5" w:rsidRDefault="00AE46A5">
      <w:pPr>
        <w:pStyle w:val="BodyText"/>
        <w:ind w:right="-168"/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Transactional experience in:</w:t>
      </w:r>
    </w:p>
    <w:p w14:paraId="29A59B46" w14:textId="77777777" w:rsidR="00AE46A5" w:rsidRDefault="00AE46A5">
      <w:pPr>
        <w:pStyle w:val="BodyText"/>
        <w:ind w:left="860" w:right="-168" w:hanging="860"/>
        <w:jc w:val="both"/>
        <w:rPr>
          <w:rFonts w:ascii="Arial" w:hAnsi="Arial" w:cs="Arial"/>
          <w:sz w:val="22"/>
          <w:lang w:val="en-GB"/>
        </w:rPr>
      </w:pPr>
    </w:p>
    <w:p w14:paraId="51428AFE" w14:textId="77777777" w:rsidR="00AE46A5" w:rsidRDefault="00AE46A5">
      <w:pPr>
        <w:jc w:val="both"/>
        <w:rPr>
          <w:sz w:val="22"/>
          <w:lang w:val="en-GB"/>
        </w:rPr>
      </w:pPr>
      <w:r>
        <w:rPr>
          <w:sz w:val="22"/>
          <w:lang w:val="en-GB"/>
        </w:rPr>
        <w:t>•</w:t>
      </w:r>
      <w:r>
        <w:rPr>
          <w:sz w:val="22"/>
          <w:lang w:val="en-GB"/>
        </w:rPr>
        <w:tab/>
        <w:t xml:space="preserve">Commercial litigation advice and matters in the Supreme, District and Local </w:t>
      </w:r>
      <w:proofErr w:type="gramStart"/>
      <w:r>
        <w:rPr>
          <w:sz w:val="22"/>
          <w:lang w:val="en-GB"/>
        </w:rPr>
        <w:t>Courts;</w:t>
      </w:r>
      <w:proofErr w:type="gramEnd"/>
    </w:p>
    <w:p w14:paraId="00DB25D1" w14:textId="77777777" w:rsidR="00AE46A5" w:rsidRDefault="00AE46A5">
      <w:pPr>
        <w:ind w:left="851" w:hanging="851"/>
        <w:jc w:val="both"/>
        <w:rPr>
          <w:sz w:val="22"/>
          <w:lang w:val="en-GB"/>
        </w:rPr>
      </w:pPr>
      <w:r>
        <w:rPr>
          <w:sz w:val="22"/>
          <w:lang w:val="en-GB"/>
        </w:rPr>
        <w:t>•</w:t>
      </w:r>
      <w:r>
        <w:rPr>
          <w:sz w:val="22"/>
          <w:lang w:val="en-GB"/>
        </w:rPr>
        <w:tab/>
        <w:t xml:space="preserve">Intellectual property dispute resolution - drafting and assessing letters of demand and undertaking </w:t>
      </w:r>
      <w:proofErr w:type="gramStart"/>
      <w:r>
        <w:rPr>
          <w:sz w:val="22"/>
          <w:lang w:val="en-GB"/>
        </w:rPr>
        <w:t>deeds;</w:t>
      </w:r>
      <w:proofErr w:type="gramEnd"/>
    </w:p>
    <w:p w14:paraId="724679D8" w14:textId="77777777" w:rsidR="00AE46A5" w:rsidRDefault="00AE46A5">
      <w:pPr>
        <w:jc w:val="both"/>
        <w:rPr>
          <w:sz w:val="22"/>
          <w:lang w:val="en-GB"/>
        </w:rPr>
      </w:pPr>
      <w:r>
        <w:rPr>
          <w:sz w:val="22"/>
          <w:lang w:val="en-GB"/>
        </w:rPr>
        <w:t>•</w:t>
      </w:r>
      <w:r>
        <w:rPr>
          <w:sz w:val="22"/>
          <w:lang w:val="en-GB"/>
        </w:rPr>
        <w:tab/>
        <w:t xml:space="preserve">Resolving domain name and </w:t>
      </w:r>
      <w:proofErr w:type="gramStart"/>
      <w:r>
        <w:rPr>
          <w:sz w:val="22"/>
          <w:lang w:val="en-GB"/>
        </w:rPr>
        <w:t>trade mark</w:t>
      </w:r>
      <w:proofErr w:type="gramEnd"/>
      <w:r>
        <w:rPr>
          <w:sz w:val="22"/>
          <w:lang w:val="en-GB"/>
        </w:rPr>
        <w:t xml:space="preserve"> disputes;</w:t>
      </w:r>
    </w:p>
    <w:p w14:paraId="14BD5925" w14:textId="77777777" w:rsidR="00AE46A5" w:rsidRDefault="00AE46A5">
      <w:pPr>
        <w:jc w:val="both"/>
        <w:rPr>
          <w:sz w:val="22"/>
          <w:lang w:val="en-GB"/>
        </w:rPr>
      </w:pPr>
      <w:r>
        <w:rPr>
          <w:sz w:val="22"/>
          <w:lang w:val="en-GB"/>
        </w:rPr>
        <w:t>•</w:t>
      </w:r>
      <w:r>
        <w:rPr>
          <w:sz w:val="22"/>
          <w:lang w:val="en-GB"/>
        </w:rPr>
        <w:tab/>
        <w:t xml:space="preserve">Drafting human resources contracts including contractor and employee </w:t>
      </w:r>
      <w:proofErr w:type="gramStart"/>
      <w:r>
        <w:rPr>
          <w:sz w:val="22"/>
          <w:lang w:val="en-GB"/>
        </w:rPr>
        <w:t>contracts;</w:t>
      </w:r>
      <w:proofErr w:type="gramEnd"/>
    </w:p>
    <w:p w14:paraId="3F11A141" w14:textId="77777777" w:rsidR="00AE46A5" w:rsidRDefault="00AE46A5">
      <w:pPr>
        <w:jc w:val="both"/>
        <w:rPr>
          <w:sz w:val="22"/>
          <w:lang w:val="en-GB"/>
        </w:rPr>
      </w:pPr>
      <w:r>
        <w:rPr>
          <w:sz w:val="22"/>
          <w:lang w:val="en-GB"/>
        </w:rPr>
        <w:t>•</w:t>
      </w:r>
      <w:r>
        <w:rPr>
          <w:sz w:val="22"/>
          <w:lang w:val="en-GB"/>
        </w:rPr>
        <w:tab/>
        <w:t xml:space="preserve">Drafting </w:t>
      </w:r>
      <w:proofErr w:type="gramStart"/>
      <w:r>
        <w:rPr>
          <w:sz w:val="22"/>
          <w:lang w:val="en-GB"/>
        </w:rPr>
        <w:t>trade mark</w:t>
      </w:r>
      <w:proofErr w:type="gramEnd"/>
      <w:r>
        <w:rPr>
          <w:sz w:val="22"/>
          <w:lang w:val="en-GB"/>
        </w:rPr>
        <w:t xml:space="preserve"> applications for registration with IP Australia;</w:t>
      </w:r>
    </w:p>
    <w:p w14:paraId="22641906" w14:textId="77777777" w:rsidR="00AE46A5" w:rsidRDefault="00AE46A5">
      <w:pPr>
        <w:jc w:val="both"/>
        <w:rPr>
          <w:sz w:val="22"/>
          <w:lang w:val="en-GB"/>
        </w:rPr>
      </w:pPr>
      <w:r>
        <w:rPr>
          <w:sz w:val="22"/>
          <w:lang w:val="en-GB"/>
        </w:rPr>
        <w:t>•</w:t>
      </w:r>
      <w:r>
        <w:rPr>
          <w:sz w:val="22"/>
          <w:lang w:val="en-GB"/>
        </w:rPr>
        <w:tab/>
        <w:t xml:space="preserve">Assessing </w:t>
      </w:r>
      <w:proofErr w:type="gramStart"/>
      <w:r>
        <w:rPr>
          <w:sz w:val="22"/>
          <w:lang w:val="en-GB"/>
        </w:rPr>
        <w:t>trade mark</w:t>
      </w:r>
      <w:proofErr w:type="gramEnd"/>
      <w:r>
        <w:rPr>
          <w:sz w:val="22"/>
          <w:lang w:val="en-GB"/>
        </w:rPr>
        <w:t xml:space="preserve"> registration proposals against availability search results;</w:t>
      </w:r>
    </w:p>
    <w:p w14:paraId="7520CFEC" w14:textId="77777777" w:rsidR="00AE46A5" w:rsidRDefault="00AE46A5">
      <w:pPr>
        <w:jc w:val="both"/>
        <w:rPr>
          <w:sz w:val="22"/>
          <w:lang w:val="en-GB"/>
        </w:rPr>
      </w:pPr>
      <w:r>
        <w:rPr>
          <w:sz w:val="22"/>
          <w:lang w:val="en-GB"/>
        </w:rPr>
        <w:t>•</w:t>
      </w:r>
      <w:r>
        <w:rPr>
          <w:sz w:val="22"/>
          <w:lang w:val="en-GB"/>
        </w:rPr>
        <w:tab/>
        <w:t xml:space="preserve">Sale of goods advice for a book publisher with legal issues under a purchase </w:t>
      </w:r>
      <w:proofErr w:type="gramStart"/>
      <w:r>
        <w:rPr>
          <w:sz w:val="22"/>
          <w:lang w:val="en-GB"/>
        </w:rPr>
        <w:t>order;</w:t>
      </w:r>
      <w:proofErr w:type="gramEnd"/>
    </w:p>
    <w:p w14:paraId="06D57B49" w14:textId="77777777" w:rsidR="00AE46A5" w:rsidRDefault="00AE46A5">
      <w:pPr>
        <w:ind w:left="851" w:hanging="851"/>
        <w:jc w:val="both"/>
        <w:rPr>
          <w:sz w:val="22"/>
          <w:lang w:val="en-GB"/>
        </w:rPr>
      </w:pPr>
      <w:r>
        <w:rPr>
          <w:sz w:val="22"/>
          <w:lang w:val="en-GB"/>
        </w:rPr>
        <w:t>•</w:t>
      </w:r>
      <w:r>
        <w:rPr>
          <w:sz w:val="22"/>
          <w:lang w:val="en-GB"/>
        </w:rPr>
        <w:tab/>
        <w:t>Corporations law - business structuring - advising regarding establishment of private companies; and</w:t>
      </w:r>
    </w:p>
    <w:p w14:paraId="46E75E62" w14:textId="77777777" w:rsidR="00AE46A5" w:rsidRDefault="00AE46A5">
      <w:pPr>
        <w:jc w:val="both"/>
        <w:rPr>
          <w:sz w:val="22"/>
        </w:rPr>
      </w:pPr>
      <w:r>
        <w:rPr>
          <w:sz w:val="22"/>
          <w:lang w:val="en-GB"/>
        </w:rPr>
        <w:t>•</w:t>
      </w:r>
      <w:r>
        <w:rPr>
          <w:sz w:val="22"/>
          <w:lang w:val="en-GB"/>
        </w:rPr>
        <w:tab/>
      </w:r>
      <w:r>
        <w:rPr>
          <w:sz w:val="22"/>
        </w:rPr>
        <w:t>Assisting a manufacturing company resolve an industrial lease dispute.</w:t>
      </w:r>
    </w:p>
    <w:p w14:paraId="351CBEA7" w14:textId="77777777" w:rsidR="00AE46A5" w:rsidRDefault="00AE46A5">
      <w:pPr>
        <w:pStyle w:val="BodyText"/>
        <w:ind w:left="860" w:right="-168" w:hanging="860"/>
        <w:jc w:val="both"/>
        <w:rPr>
          <w:rFonts w:ascii="Arial" w:hAnsi="Arial" w:cs="Arial"/>
          <w:sz w:val="22"/>
          <w:lang w:val="en-GB"/>
        </w:rPr>
      </w:pPr>
    </w:p>
    <w:p w14:paraId="2ACAD979" w14:textId="77777777" w:rsidR="00AE46A5" w:rsidRDefault="00AE46A5">
      <w:pPr>
        <w:pStyle w:val="BodyText"/>
        <w:jc w:val="both"/>
        <w:rPr>
          <w:rFonts w:ascii="Arial" w:hAnsi="Arial" w:cs="Arial"/>
          <w:color w:val="333333"/>
          <w:sz w:val="22"/>
          <w:lang w:val="en-GB"/>
        </w:rPr>
      </w:pPr>
      <w:r>
        <w:rPr>
          <w:rFonts w:ascii="Arial" w:hAnsi="Arial" w:cs="Arial"/>
          <w:sz w:val="22"/>
        </w:rPr>
        <w:t>Assisted firm to prepare proposals and document its management policies for time recording and billing options.</w:t>
      </w:r>
    </w:p>
    <w:p w14:paraId="4305B167" w14:textId="77777777" w:rsidR="00AE46A5" w:rsidRDefault="00AE46A5">
      <w:pPr>
        <w:pStyle w:val="BodyText"/>
        <w:ind w:left="860" w:right="-168" w:hanging="860"/>
        <w:jc w:val="both"/>
        <w:rPr>
          <w:rFonts w:ascii="Arial" w:hAnsi="Arial" w:cs="Arial"/>
          <w:color w:val="333333"/>
          <w:sz w:val="22"/>
          <w:lang w:val="en-GB"/>
        </w:rPr>
      </w:pPr>
    </w:p>
    <w:p w14:paraId="4C7389F8" w14:textId="7177199E" w:rsidR="00AE46A5" w:rsidRDefault="00AE46A5" w:rsidP="00DF4CB6">
      <w:pPr>
        <w:spacing w:after="120"/>
        <w:jc w:val="both"/>
        <w:rPr>
          <w:b/>
          <w:sz w:val="22"/>
          <w:lang w:val="en-GB"/>
        </w:rPr>
      </w:pPr>
      <w:r>
        <w:rPr>
          <w:b/>
          <w:sz w:val="22"/>
          <w:lang w:val="en-GB"/>
        </w:rPr>
        <w:t>July 2001 - March 2002 (Part-time): Para-legal, Dilanchian Lawyers &amp; Consultants</w:t>
      </w:r>
      <w:r w:rsidR="00DF4CB6">
        <w:rPr>
          <w:b/>
          <w:sz w:val="22"/>
          <w:lang w:val="en-GB"/>
        </w:rPr>
        <w:t>:</w:t>
      </w:r>
    </w:p>
    <w:p w14:paraId="0780C8DD" w14:textId="77777777" w:rsidR="00AE46A5" w:rsidRDefault="00AE46A5">
      <w:pPr>
        <w:pStyle w:val="BodyText"/>
        <w:ind w:left="860" w:right="-168" w:hanging="860"/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•</w:t>
      </w:r>
      <w:r>
        <w:rPr>
          <w:rFonts w:ascii="Arial" w:hAnsi="Arial" w:cs="Arial"/>
          <w:sz w:val="22"/>
          <w:lang w:val="en-GB"/>
        </w:rPr>
        <w:tab/>
        <w:t>Privacy law advice and compliance including drafting privacy statements;</w:t>
      </w:r>
    </w:p>
    <w:p w14:paraId="72A66A9F" w14:textId="77777777" w:rsidR="00AE46A5" w:rsidRDefault="00AE46A5">
      <w:pPr>
        <w:pStyle w:val="BodyText"/>
        <w:ind w:left="860" w:right="-168" w:hanging="860"/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•</w:t>
      </w:r>
      <w:r>
        <w:rPr>
          <w:rFonts w:ascii="Arial" w:hAnsi="Arial" w:cs="Arial"/>
          <w:sz w:val="22"/>
          <w:lang w:val="en-GB"/>
        </w:rPr>
        <w:tab/>
        <w:t>Advising regarding the tax consequences of proposed new ventures for a charity;</w:t>
      </w:r>
    </w:p>
    <w:p w14:paraId="755559A2" w14:textId="77777777" w:rsidR="00AE46A5" w:rsidRDefault="00AE46A5">
      <w:pPr>
        <w:pStyle w:val="BodyText"/>
        <w:ind w:left="860" w:right="-168" w:hanging="8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en-GB"/>
        </w:rPr>
        <w:t>•</w:t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</w:rPr>
        <w:t>Providing intellectual property advice for an SMS marketing venture; and</w:t>
      </w:r>
    </w:p>
    <w:p w14:paraId="665C9010" w14:textId="77777777" w:rsidR="00AE46A5" w:rsidRDefault="00AE46A5">
      <w:pPr>
        <w:pStyle w:val="BodyText"/>
        <w:ind w:left="860" w:right="-168" w:hanging="860"/>
        <w:jc w:val="both"/>
        <w:rPr>
          <w:rFonts w:ascii="Arial" w:hAnsi="Arial" w:cs="Arial"/>
          <w:color w:val="333333"/>
          <w:sz w:val="22"/>
          <w:lang w:val="en-GB"/>
        </w:rPr>
      </w:pPr>
      <w:r>
        <w:rPr>
          <w:rFonts w:ascii="Arial" w:hAnsi="Arial" w:cs="Arial"/>
          <w:sz w:val="22"/>
        </w:rPr>
        <w:t>•</w:t>
      </w:r>
      <w:r>
        <w:rPr>
          <w:rFonts w:ascii="Arial" w:hAnsi="Arial" w:cs="Arial"/>
          <w:sz w:val="22"/>
        </w:rPr>
        <w:tab/>
        <w:t>Preparing documentation for purchase of a magazine business.</w:t>
      </w:r>
    </w:p>
    <w:p w14:paraId="080FAB87" w14:textId="77777777" w:rsidR="00AE46A5" w:rsidRDefault="00AE46A5">
      <w:pPr>
        <w:pStyle w:val="BodyText"/>
        <w:ind w:left="860" w:right="-168" w:hanging="860"/>
        <w:jc w:val="both"/>
        <w:rPr>
          <w:rFonts w:ascii="Arial" w:hAnsi="Arial" w:cs="Arial"/>
          <w:color w:val="333333"/>
          <w:sz w:val="22"/>
          <w:lang w:val="en-GB"/>
        </w:rPr>
      </w:pPr>
    </w:p>
    <w:p w14:paraId="5C341B3B" w14:textId="77777777" w:rsidR="00AE46A5" w:rsidRDefault="00AE46A5" w:rsidP="00DF4CB6">
      <w:pPr>
        <w:spacing w:after="120"/>
        <w:jc w:val="both"/>
        <w:rPr>
          <w:b/>
          <w:sz w:val="22"/>
          <w:lang w:val="en-GB"/>
        </w:rPr>
      </w:pPr>
      <w:r>
        <w:rPr>
          <w:b/>
          <w:sz w:val="22"/>
          <w:lang w:val="en-GB"/>
        </w:rPr>
        <w:t>November 2000 - June 2001 (Part-time): Australian Stock Exchange</w:t>
      </w:r>
      <w:r w:rsidR="00DF4CB6">
        <w:rPr>
          <w:b/>
          <w:sz w:val="22"/>
          <w:lang w:val="en-GB"/>
        </w:rPr>
        <w:t>:</w:t>
      </w:r>
    </w:p>
    <w:p w14:paraId="56058152" w14:textId="77777777" w:rsidR="00AE46A5" w:rsidRDefault="00AE46A5">
      <w:pPr>
        <w:pStyle w:val="BodyText"/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Experience gained in the Office of Legal Services in connection with contracts, debt recovery, subpoenas, legal research and document management.</w:t>
      </w:r>
    </w:p>
    <w:p w14:paraId="2C3F0D4B" w14:textId="77777777" w:rsidR="00AE46A5" w:rsidRDefault="00AE46A5">
      <w:pPr>
        <w:pStyle w:val="BodyText"/>
        <w:ind w:left="860" w:right="-168" w:hanging="860"/>
        <w:jc w:val="both"/>
        <w:rPr>
          <w:rFonts w:ascii="Arial" w:hAnsi="Arial" w:cs="Arial"/>
          <w:color w:val="333333"/>
          <w:sz w:val="22"/>
          <w:lang w:val="en-GB"/>
        </w:rPr>
      </w:pPr>
    </w:p>
    <w:p w14:paraId="09EDBC4F" w14:textId="77777777" w:rsidR="00AE46A5" w:rsidRDefault="00AE46A5" w:rsidP="00DF4CB6">
      <w:pPr>
        <w:spacing w:after="120"/>
        <w:jc w:val="both"/>
        <w:rPr>
          <w:b/>
          <w:sz w:val="22"/>
          <w:lang w:val="en-GB"/>
        </w:rPr>
      </w:pPr>
      <w:r>
        <w:rPr>
          <w:b/>
          <w:sz w:val="22"/>
          <w:lang w:val="en-GB"/>
        </w:rPr>
        <w:t>June 1988 - June 2001: Senior Constable, NSW Police Service</w:t>
      </w:r>
      <w:r w:rsidR="00DF4CB6">
        <w:rPr>
          <w:b/>
          <w:sz w:val="22"/>
          <w:lang w:val="en-GB"/>
        </w:rPr>
        <w:t>:</w:t>
      </w:r>
    </w:p>
    <w:p w14:paraId="005DCFCF" w14:textId="77777777" w:rsidR="00AE46A5" w:rsidRDefault="00AE46A5">
      <w:pPr>
        <w:jc w:val="both"/>
        <w:rPr>
          <w:bCs/>
          <w:sz w:val="22"/>
          <w:lang w:val="en-GB"/>
        </w:rPr>
      </w:pPr>
      <w:r>
        <w:rPr>
          <w:bCs/>
          <w:sz w:val="22"/>
          <w:lang w:val="en-GB"/>
        </w:rPr>
        <w:t>Responsibilities in intelligence</w:t>
      </w:r>
      <w:r w:rsidR="00DF4CB6">
        <w:rPr>
          <w:bCs/>
          <w:sz w:val="22"/>
          <w:lang w:val="en-GB"/>
        </w:rPr>
        <w:t xml:space="preserve"> gathering</w:t>
      </w:r>
      <w:r>
        <w:rPr>
          <w:bCs/>
          <w:sz w:val="22"/>
          <w:lang w:val="en-GB"/>
        </w:rPr>
        <w:t>, investigations and crime scene analysis</w:t>
      </w:r>
      <w:proofErr w:type="gramStart"/>
      <w:r>
        <w:rPr>
          <w:bCs/>
          <w:sz w:val="22"/>
          <w:lang w:val="en-GB"/>
        </w:rPr>
        <w:t>, in particular, fingerprint</w:t>
      </w:r>
      <w:proofErr w:type="gramEnd"/>
      <w:r>
        <w:rPr>
          <w:bCs/>
          <w:sz w:val="22"/>
          <w:lang w:val="en-GB"/>
        </w:rPr>
        <w:t xml:space="preserve"> evidence.  Matters dealt with included many Local Court appearances</w:t>
      </w:r>
      <w:r>
        <w:rPr>
          <w:rFonts w:cs="Arial"/>
          <w:sz w:val="22"/>
        </w:rPr>
        <w:t>.</w:t>
      </w:r>
      <w:r>
        <w:rPr>
          <w:bCs/>
          <w:sz w:val="22"/>
          <w:lang w:val="en-GB"/>
        </w:rPr>
        <w:t xml:space="preserve">  Promoted in November 1996 from the rank of Constable to Senior Constable.  </w:t>
      </w:r>
    </w:p>
    <w:p w14:paraId="29F9F904" w14:textId="77777777" w:rsidR="00AE46A5" w:rsidRDefault="00AE46A5">
      <w:pPr>
        <w:jc w:val="both"/>
        <w:rPr>
          <w:bCs/>
          <w:color w:val="333333"/>
          <w:sz w:val="22"/>
          <w:lang w:val="en-GB"/>
        </w:rPr>
      </w:pPr>
    </w:p>
    <w:p w14:paraId="75D2C67F" w14:textId="77777777" w:rsidR="00AE46A5" w:rsidRDefault="00AE46A5" w:rsidP="002D7164">
      <w:pPr>
        <w:spacing w:after="240"/>
        <w:jc w:val="both"/>
        <w:rPr>
          <w:b/>
          <w:bCs/>
          <w:color w:val="000080"/>
          <w:sz w:val="28"/>
          <w:lang w:val="en-GB"/>
        </w:rPr>
      </w:pPr>
      <w:r>
        <w:rPr>
          <w:b/>
          <w:bCs/>
          <w:color w:val="000080"/>
          <w:sz w:val="28"/>
          <w:lang w:val="en-GB"/>
        </w:rPr>
        <w:t>PUBLICATIONS</w:t>
      </w:r>
      <w:r w:rsidR="002D7164">
        <w:rPr>
          <w:b/>
          <w:bCs/>
          <w:color w:val="000080"/>
          <w:sz w:val="28"/>
          <w:lang w:val="en-GB"/>
        </w:rPr>
        <w:t>:</w:t>
      </w:r>
    </w:p>
    <w:p w14:paraId="3215FFA2" w14:textId="77777777" w:rsidR="00DF4CB6" w:rsidRDefault="00DF4CB6">
      <w:pPr>
        <w:numPr>
          <w:ilvl w:val="0"/>
          <w:numId w:val="6"/>
        </w:numPr>
        <w:jc w:val="both"/>
        <w:rPr>
          <w:sz w:val="22"/>
          <w:lang w:val="en-GB"/>
        </w:rPr>
      </w:pPr>
      <w:r>
        <w:rPr>
          <w:sz w:val="22"/>
          <w:lang w:val="en-GB"/>
        </w:rPr>
        <w:t xml:space="preserve">Setting aside a Statutory Demand; Broadcast on Benchmark; </w:t>
      </w:r>
      <w:hyperlink r:id="rId10" w:history="1">
        <w:r>
          <w:rPr>
            <w:rStyle w:val="Hyperlink"/>
            <w:rFonts w:cs="Arial"/>
            <w:sz w:val="20"/>
            <w:lang w:val="en-AU"/>
          </w:rPr>
          <w:t>https://benchtv.com.au/cletv/setting-aside-a-statutory-demand-genuine-disputes/</w:t>
        </w:r>
      </w:hyperlink>
      <w:r>
        <w:rPr>
          <w:rFonts w:cs="Arial"/>
          <w:sz w:val="20"/>
          <w:lang w:val="en-AU"/>
        </w:rPr>
        <w:t xml:space="preserve"> </w:t>
      </w:r>
    </w:p>
    <w:p w14:paraId="10FCA952" w14:textId="77777777" w:rsidR="00AE46A5" w:rsidRDefault="00AE46A5">
      <w:pPr>
        <w:numPr>
          <w:ilvl w:val="0"/>
          <w:numId w:val="6"/>
        </w:numPr>
        <w:jc w:val="both"/>
        <w:rPr>
          <w:sz w:val="22"/>
          <w:lang w:val="en-GB"/>
        </w:rPr>
      </w:pPr>
      <w:r>
        <w:rPr>
          <w:sz w:val="22"/>
          <w:lang w:val="en-GB"/>
        </w:rPr>
        <w:t>Privacy - Good for business</w:t>
      </w:r>
      <w:r w:rsidR="00DF4CB6">
        <w:rPr>
          <w:sz w:val="22"/>
          <w:lang w:val="en-GB"/>
        </w:rPr>
        <w:t xml:space="preserve"> (article).</w:t>
      </w:r>
    </w:p>
    <w:p w14:paraId="47F85C7F" w14:textId="77777777" w:rsidR="00AE46A5" w:rsidRDefault="00AE46A5">
      <w:pPr>
        <w:numPr>
          <w:ilvl w:val="0"/>
          <w:numId w:val="6"/>
        </w:numPr>
        <w:jc w:val="both"/>
        <w:rPr>
          <w:sz w:val="22"/>
          <w:lang w:val="en-GB"/>
        </w:rPr>
      </w:pPr>
      <w:r>
        <w:rPr>
          <w:sz w:val="22"/>
          <w:lang w:val="en-GB"/>
        </w:rPr>
        <w:t>How to kick the email abuse habit</w:t>
      </w:r>
      <w:r w:rsidR="00DF4CB6">
        <w:rPr>
          <w:sz w:val="22"/>
          <w:lang w:val="en-GB"/>
        </w:rPr>
        <w:t xml:space="preserve"> (article).</w:t>
      </w:r>
    </w:p>
    <w:p w14:paraId="1E014656" w14:textId="77777777" w:rsidR="00AE46A5" w:rsidRDefault="00AE46A5">
      <w:pPr>
        <w:numPr>
          <w:ilvl w:val="0"/>
          <w:numId w:val="6"/>
        </w:numPr>
        <w:jc w:val="both"/>
        <w:rPr>
          <w:sz w:val="22"/>
          <w:lang w:val="en-GB"/>
        </w:rPr>
      </w:pPr>
      <w:r>
        <w:rPr>
          <w:sz w:val="22"/>
          <w:lang w:val="en-GB"/>
        </w:rPr>
        <w:t>Branded Earnings</w:t>
      </w:r>
      <w:r w:rsidR="00DF4CB6" w:rsidRPr="00DF4CB6">
        <w:rPr>
          <w:sz w:val="22"/>
          <w:lang w:val="en-GB"/>
        </w:rPr>
        <w:t xml:space="preserve"> </w:t>
      </w:r>
      <w:r w:rsidR="00DF4CB6">
        <w:rPr>
          <w:sz w:val="22"/>
          <w:lang w:val="en-GB"/>
        </w:rPr>
        <w:t>(article).</w:t>
      </w:r>
    </w:p>
    <w:p w14:paraId="31F40EAF" w14:textId="77777777" w:rsidR="00AE46A5" w:rsidRDefault="00AE46A5">
      <w:pPr>
        <w:jc w:val="both"/>
        <w:rPr>
          <w:color w:val="333333"/>
          <w:sz w:val="22"/>
          <w:lang w:val="en-GB"/>
        </w:rPr>
      </w:pPr>
    </w:p>
    <w:p w14:paraId="7AE42750" w14:textId="77777777" w:rsidR="00AE46A5" w:rsidRDefault="00AE46A5" w:rsidP="002D7164">
      <w:pPr>
        <w:spacing w:after="240"/>
        <w:jc w:val="both"/>
        <w:rPr>
          <w:b/>
          <w:color w:val="000080"/>
          <w:sz w:val="28"/>
          <w:szCs w:val="26"/>
          <w:lang w:val="en-GB"/>
        </w:rPr>
      </w:pPr>
      <w:r>
        <w:rPr>
          <w:b/>
          <w:color w:val="000080"/>
          <w:sz w:val="28"/>
          <w:szCs w:val="26"/>
          <w:lang w:val="en-GB"/>
        </w:rPr>
        <w:t>ACADEMIC &amp; PROFESSIONAL QUALIFICATIONS</w:t>
      </w:r>
      <w:r w:rsidR="002D7164">
        <w:rPr>
          <w:b/>
          <w:color w:val="000080"/>
          <w:sz w:val="28"/>
          <w:szCs w:val="26"/>
          <w:lang w:val="en-GB"/>
        </w:rPr>
        <w:t>:</w:t>
      </w:r>
    </w:p>
    <w:p w14:paraId="1DC51CCE" w14:textId="403ECD2E" w:rsidR="00AE46A5" w:rsidRDefault="00AE46A5" w:rsidP="0064535C">
      <w:pPr>
        <w:numPr>
          <w:ilvl w:val="0"/>
          <w:numId w:val="6"/>
        </w:numPr>
        <w:jc w:val="both"/>
        <w:rPr>
          <w:sz w:val="22"/>
          <w:lang w:val="en-GB"/>
        </w:rPr>
      </w:pPr>
      <w:r>
        <w:rPr>
          <w:sz w:val="22"/>
          <w:lang w:val="en-GB"/>
        </w:rPr>
        <w:t xml:space="preserve">Diploma in Law (Legal Practitioners Admission Board) University of Sydney </w:t>
      </w:r>
      <w:proofErr w:type="gramStart"/>
      <w:r>
        <w:rPr>
          <w:sz w:val="22"/>
          <w:lang w:val="en-GB"/>
        </w:rPr>
        <w:t>2001;</w:t>
      </w:r>
      <w:proofErr w:type="gramEnd"/>
      <w:r>
        <w:rPr>
          <w:sz w:val="22"/>
          <w:lang w:val="en-GB"/>
        </w:rPr>
        <w:t xml:space="preserve"> </w:t>
      </w:r>
    </w:p>
    <w:p w14:paraId="2DEEBE50" w14:textId="3CF8BA4A" w:rsidR="00AE46A5" w:rsidRDefault="00AE46A5" w:rsidP="0064535C">
      <w:pPr>
        <w:numPr>
          <w:ilvl w:val="0"/>
          <w:numId w:val="6"/>
        </w:numPr>
        <w:jc w:val="both"/>
        <w:rPr>
          <w:sz w:val="22"/>
          <w:lang w:val="en-GB"/>
        </w:rPr>
      </w:pPr>
      <w:r>
        <w:rPr>
          <w:sz w:val="22"/>
          <w:lang w:val="en-GB"/>
        </w:rPr>
        <w:t>Graduate Diploma in Legal Practice (College of Law, Sydney), 2002.</w:t>
      </w:r>
    </w:p>
    <w:p w14:paraId="2D0F7529" w14:textId="75EBBCED" w:rsidR="00D12EC6" w:rsidRDefault="00D12EC6" w:rsidP="0064535C">
      <w:pPr>
        <w:numPr>
          <w:ilvl w:val="0"/>
          <w:numId w:val="6"/>
        </w:numPr>
        <w:jc w:val="both"/>
        <w:rPr>
          <w:sz w:val="22"/>
          <w:lang w:val="en-GB"/>
        </w:rPr>
      </w:pPr>
      <w:r>
        <w:rPr>
          <w:sz w:val="22"/>
          <w:lang w:val="en-GB"/>
        </w:rPr>
        <w:t>College of Law NMAS Mediator Training and NMAS Accreditation; 2020</w:t>
      </w:r>
    </w:p>
    <w:p w14:paraId="3B07D4BC" w14:textId="77777777" w:rsidR="00AE46A5" w:rsidRDefault="00AE46A5">
      <w:pPr>
        <w:jc w:val="both"/>
        <w:rPr>
          <w:sz w:val="22"/>
          <w:lang w:val="en-GB"/>
        </w:rPr>
      </w:pPr>
    </w:p>
    <w:p w14:paraId="128FB18B" w14:textId="77777777" w:rsidR="00AA77F1" w:rsidRDefault="00AA77F1" w:rsidP="002D7164">
      <w:pPr>
        <w:spacing w:after="240"/>
        <w:jc w:val="both"/>
        <w:rPr>
          <w:b/>
          <w:color w:val="000080"/>
          <w:sz w:val="28"/>
          <w:szCs w:val="26"/>
          <w:lang w:val="en-GB"/>
        </w:rPr>
      </w:pPr>
    </w:p>
    <w:p w14:paraId="5C757329" w14:textId="011EB844" w:rsidR="002D7164" w:rsidRDefault="002D7164" w:rsidP="002D7164">
      <w:pPr>
        <w:spacing w:after="240"/>
        <w:jc w:val="both"/>
        <w:rPr>
          <w:b/>
          <w:color w:val="000080"/>
          <w:sz w:val="28"/>
          <w:szCs w:val="26"/>
          <w:lang w:val="en-GB"/>
        </w:rPr>
      </w:pPr>
      <w:r>
        <w:rPr>
          <w:b/>
          <w:color w:val="000080"/>
          <w:sz w:val="28"/>
          <w:szCs w:val="26"/>
          <w:lang w:val="en-GB"/>
        </w:rPr>
        <w:t>MEMBERSHIPS/COMMITTEES</w:t>
      </w:r>
      <w:r w:rsidR="0038192D">
        <w:rPr>
          <w:b/>
          <w:color w:val="000080"/>
          <w:sz w:val="28"/>
          <w:szCs w:val="26"/>
          <w:lang w:val="en-GB"/>
        </w:rPr>
        <w:t>/ACKNOWLEDGEMENTS</w:t>
      </w:r>
      <w:r>
        <w:rPr>
          <w:b/>
          <w:color w:val="000080"/>
          <w:sz w:val="28"/>
          <w:szCs w:val="26"/>
          <w:lang w:val="en-GB"/>
        </w:rPr>
        <w:t>:</w:t>
      </w:r>
    </w:p>
    <w:p w14:paraId="20CFDE03" w14:textId="77777777" w:rsidR="002D7164" w:rsidRPr="002D7164" w:rsidRDefault="002D7164" w:rsidP="00B87FBC">
      <w:pPr>
        <w:numPr>
          <w:ilvl w:val="0"/>
          <w:numId w:val="7"/>
        </w:numPr>
        <w:spacing w:after="120"/>
        <w:ind w:left="714" w:hanging="357"/>
        <w:jc w:val="both"/>
        <w:rPr>
          <w:rFonts w:cs="Arial"/>
          <w:color w:val="000000"/>
          <w:sz w:val="22"/>
          <w:szCs w:val="22"/>
        </w:rPr>
      </w:pPr>
      <w:r w:rsidRPr="002D7164">
        <w:rPr>
          <w:rFonts w:cs="Arial"/>
          <w:color w:val="000000"/>
          <w:sz w:val="22"/>
          <w:szCs w:val="22"/>
        </w:rPr>
        <w:t xml:space="preserve">NSW Bar </w:t>
      </w:r>
      <w:proofErr w:type="gramStart"/>
      <w:r w:rsidRPr="002D7164">
        <w:rPr>
          <w:rFonts w:cs="Arial"/>
          <w:color w:val="000000"/>
          <w:sz w:val="22"/>
          <w:szCs w:val="22"/>
        </w:rPr>
        <w:t>Association</w:t>
      </w:r>
      <w:r w:rsidR="00B87FBC">
        <w:rPr>
          <w:rFonts w:cs="Arial"/>
          <w:color w:val="000000"/>
          <w:sz w:val="22"/>
          <w:szCs w:val="22"/>
        </w:rPr>
        <w:t>;</w:t>
      </w:r>
      <w:proofErr w:type="gramEnd"/>
    </w:p>
    <w:p w14:paraId="6184E511" w14:textId="77777777" w:rsidR="002D7164" w:rsidRPr="002D7164" w:rsidRDefault="002D7164" w:rsidP="00B87FBC">
      <w:pPr>
        <w:numPr>
          <w:ilvl w:val="0"/>
          <w:numId w:val="7"/>
        </w:numPr>
        <w:spacing w:after="120"/>
        <w:ind w:left="714" w:hanging="357"/>
        <w:jc w:val="both"/>
        <w:rPr>
          <w:rFonts w:cs="Arial"/>
          <w:color w:val="000000"/>
          <w:sz w:val="22"/>
          <w:szCs w:val="22"/>
        </w:rPr>
      </w:pPr>
      <w:r w:rsidRPr="002D7164">
        <w:rPr>
          <w:rFonts w:cs="Arial"/>
          <w:color w:val="000000"/>
          <w:sz w:val="22"/>
          <w:szCs w:val="22"/>
        </w:rPr>
        <w:t xml:space="preserve">Commercial law Association of </w:t>
      </w:r>
      <w:proofErr w:type="gramStart"/>
      <w:r w:rsidRPr="002D7164">
        <w:rPr>
          <w:rFonts w:cs="Arial"/>
          <w:color w:val="000000"/>
          <w:sz w:val="22"/>
          <w:szCs w:val="22"/>
        </w:rPr>
        <w:t>Australia</w:t>
      </w:r>
      <w:r w:rsidR="00B87FBC">
        <w:rPr>
          <w:rFonts w:cs="Arial"/>
          <w:color w:val="000000"/>
          <w:sz w:val="22"/>
          <w:szCs w:val="22"/>
        </w:rPr>
        <w:t>;</w:t>
      </w:r>
      <w:proofErr w:type="gramEnd"/>
    </w:p>
    <w:p w14:paraId="42549E0F" w14:textId="77777777" w:rsidR="002D7164" w:rsidRPr="002D7164" w:rsidRDefault="002D7164" w:rsidP="00B87FBC">
      <w:pPr>
        <w:numPr>
          <w:ilvl w:val="0"/>
          <w:numId w:val="7"/>
        </w:numPr>
        <w:spacing w:after="120"/>
        <w:ind w:left="714" w:hanging="357"/>
        <w:jc w:val="both"/>
        <w:rPr>
          <w:rFonts w:cs="Arial"/>
          <w:color w:val="000000"/>
          <w:sz w:val="22"/>
          <w:szCs w:val="22"/>
        </w:rPr>
      </w:pPr>
      <w:r w:rsidRPr="002D7164">
        <w:rPr>
          <w:rFonts w:cs="Arial"/>
          <w:color w:val="000000"/>
          <w:sz w:val="22"/>
          <w:szCs w:val="22"/>
        </w:rPr>
        <w:t xml:space="preserve">Australian Succession </w:t>
      </w:r>
      <w:proofErr w:type="gramStart"/>
      <w:r w:rsidRPr="002D7164">
        <w:rPr>
          <w:rFonts w:cs="Arial"/>
          <w:color w:val="000000"/>
          <w:sz w:val="22"/>
          <w:szCs w:val="22"/>
        </w:rPr>
        <w:t>lawyers</w:t>
      </w:r>
      <w:r w:rsidR="00B87FBC">
        <w:rPr>
          <w:rFonts w:cs="Arial"/>
          <w:color w:val="000000"/>
          <w:sz w:val="22"/>
          <w:szCs w:val="22"/>
        </w:rPr>
        <w:t>;</w:t>
      </w:r>
      <w:proofErr w:type="gramEnd"/>
    </w:p>
    <w:p w14:paraId="434079F8" w14:textId="77777777" w:rsidR="002D7164" w:rsidRDefault="002D7164" w:rsidP="00B87FBC">
      <w:pPr>
        <w:numPr>
          <w:ilvl w:val="0"/>
          <w:numId w:val="7"/>
        </w:numPr>
        <w:spacing w:after="120"/>
        <w:ind w:left="714" w:hanging="357"/>
        <w:jc w:val="both"/>
        <w:rPr>
          <w:rFonts w:cs="Arial"/>
          <w:color w:val="000000"/>
          <w:sz w:val="22"/>
          <w:szCs w:val="22"/>
        </w:rPr>
      </w:pPr>
      <w:r w:rsidRPr="002D7164">
        <w:rPr>
          <w:rFonts w:cs="Arial"/>
          <w:color w:val="000000"/>
          <w:sz w:val="22"/>
          <w:szCs w:val="22"/>
        </w:rPr>
        <w:t>Director of 4 Selborne Pty Limited</w:t>
      </w:r>
      <w:r w:rsidR="00B87FBC">
        <w:rPr>
          <w:rFonts w:cs="Arial"/>
          <w:color w:val="000000"/>
          <w:sz w:val="22"/>
          <w:szCs w:val="22"/>
        </w:rPr>
        <w:t>; and</w:t>
      </w:r>
    </w:p>
    <w:p w14:paraId="1B93F4BD" w14:textId="77777777" w:rsidR="0038192D" w:rsidRPr="002D7164" w:rsidRDefault="0038192D" w:rsidP="00B87FBC">
      <w:pPr>
        <w:numPr>
          <w:ilvl w:val="0"/>
          <w:numId w:val="7"/>
        </w:num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2015 </w:t>
      </w:r>
      <w:r w:rsidR="00B87FBC">
        <w:rPr>
          <w:rFonts w:cs="Arial"/>
          <w:color w:val="000000"/>
          <w:sz w:val="22"/>
          <w:szCs w:val="22"/>
        </w:rPr>
        <w:t>Doyle’s Listing of r</w:t>
      </w:r>
      <w:r>
        <w:rPr>
          <w:rFonts w:cs="Arial"/>
          <w:color w:val="000000"/>
          <w:sz w:val="22"/>
          <w:szCs w:val="22"/>
        </w:rPr>
        <w:t xml:space="preserve">ecommended Junior Counsel </w:t>
      </w:r>
      <w:r w:rsidR="00B87FBC">
        <w:rPr>
          <w:rFonts w:cs="Arial"/>
          <w:color w:val="000000"/>
          <w:sz w:val="22"/>
          <w:szCs w:val="22"/>
        </w:rPr>
        <w:t>(leading Sydney Wills &amp; Estate Barristers).</w:t>
      </w:r>
    </w:p>
    <w:p w14:paraId="1620C1BE" w14:textId="77777777" w:rsidR="00AE46A5" w:rsidRPr="002D7164" w:rsidRDefault="00AE46A5">
      <w:pPr>
        <w:ind w:left="560" w:right="-20" w:hanging="560"/>
        <w:jc w:val="both"/>
        <w:rPr>
          <w:sz w:val="22"/>
          <w:szCs w:val="22"/>
          <w:lang w:val="en-GB"/>
        </w:rPr>
      </w:pPr>
    </w:p>
    <w:p w14:paraId="01B549A7" w14:textId="77777777" w:rsidR="00AE46A5" w:rsidRDefault="00AE46A5" w:rsidP="002D7164">
      <w:pPr>
        <w:spacing w:after="240"/>
        <w:jc w:val="both"/>
        <w:rPr>
          <w:rFonts w:cs="Arial"/>
          <w:b/>
          <w:color w:val="000080"/>
          <w:sz w:val="28"/>
          <w:lang w:val="en-GB"/>
        </w:rPr>
      </w:pPr>
      <w:r>
        <w:rPr>
          <w:rFonts w:cs="Arial"/>
          <w:b/>
          <w:color w:val="000080"/>
          <w:sz w:val="28"/>
          <w:lang w:val="en-GB"/>
        </w:rPr>
        <w:t>SPORTING ACTIVITIES</w:t>
      </w:r>
      <w:r w:rsidR="002D7164">
        <w:rPr>
          <w:rFonts w:cs="Arial"/>
          <w:b/>
          <w:color w:val="000080"/>
          <w:sz w:val="28"/>
          <w:lang w:val="en-GB"/>
        </w:rPr>
        <w:t>:</w:t>
      </w:r>
    </w:p>
    <w:p w14:paraId="22D744EA" w14:textId="77777777" w:rsidR="00AE46A5" w:rsidRDefault="00AE46A5">
      <w:pPr>
        <w:pStyle w:val="BodyText3"/>
        <w:jc w:val="both"/>
      </w:pPr>
      <w:r>
        <w:t xml:space="preserve">I am an extremely keen sportsman enjoying most </w:t>
      </w:r>
      <w:proofErr w:type="gramStart"/>
      <w:r>
        <w:t>sports,</w:t>
      </w:r>
      <w:proofErr w:type="gramEnd"/>
      <w:r>
        <w:t xml:space="preserve"> however</w:t>
      </w:r>
      <w:r w:rsidR="00B87FBC">
        <w:t>,</w:t>
      </w:r>
      <w:r>
        <w:t xml:space="preserve"> </w:t>
      </w:r>
      <w:r w:rsidR="001B40D1">
        <w:t>my regular and preferred sporting activity is surfing</w:t>
      </w:r>
      <w:r w:rsidR="00B87FBC">
        <w:t xml:space="preserve"> (every weekend)</w:t>
      </w:r>
      <w:r w:rsidR="001B40D1">
        <w:t xml:space="preserve">.  When time permits, </w:t>
      </w:r>
      <w:r>
        <w:t xml:space="preserve">I </w:t>
      </w:r>
      <w:r w:rsidR="001B40D1">
        <w:t>very much enjoy</w:t>
      </w:r>
      <w:r>
        <w:t xml:space="preserve"> golf, </w:t>
      </w:r>
      <w:r w:rsidR="001B40D1">
        <w:t>s</w:t>
      </w:r>
      <w:r>
        <w:t>quash, tenn</w:t>
      </w:r>
      <w:r w:rsidR="002D7164">
        <w:t xml:space="preserve">is, kayaking and of course, watching any sport such as </w:t>
      </w:r>
      <w:r w:rsidR="00DF4CB6">
        <w:t xml:space="preserve">football (soccer), </w:t>
      </w:r>
      <w:r w:rsidR="002D7164">
        <w:t xml:space="preserve">rugby, </w:t>
      </w:r>
      <w:proofErr w:type="gramStart"/>
      <w:r w:rsidR="002D7164">
        <w:t>cricket</w:t>
      </w:r>
      <w:proofErr w:type="gramEnd"/>
      <w:r w:rsidR="002D7164">
        <w:t xml:space="preserve"> and league.</w:t>
      </w:r>
    </w:p>
    <w:p w14:paraId="377B9629" w14:textId="77777777" w:rsidR="00AE46A5" w:rsidRDefault="00AE46A5" w:rsidP="001B40D1">
      <w:pPr>
        <w:ind w:right="-20"/>
        <w:jc w:val="both"/>
        <w:rPr>
          <w:sz w:val="22"/>
          <w:lang w:val="en-GB"/>
        </w:rPr>
      </w:pPr>
    </w:p>
    <w:sectPr w:rsidR="00AE46A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1418" w:right="1418" w:bottom="1418" w:left="1418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995C9" w14:textId="77777777" w:rsidR="00565660" w:rsidRDefault="00565660">
      <w:r>
        <w:separator/>
      </w:r>
    </w:p>
  </w:endnote>
  <w:endnote w:type="continuationSeparator" w:id="0">
    <w:p w14:paraId="77448775" w14:textId="77777777" w:rsidR="00565660" w:rsidRDefault="0056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apf Dingbats">
    <w:altName w:val="Monotype Sorts"/>
    <w:panose1 w:val="00000000000000000000"/>
    <w:charset w:val="4D"/>
    <w:family w:val="auto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4E4B9" w14:textId="77777777" w:rsidR="00AE46A5" w:rsidRDefault="00AE46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D74746" w14:textId="77777777" w:rsidR="00AE46A5" w:rsidRDefault="00AE46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CEFA8" w14:textId="77777777" w:rsidR="00AE46A5" w:rsidRDefault="00AE46A5">
    <w:pPr>
      <w:pStyle w:val="Footer"/>
      <w:framePr w:wrap="around" w:vAnchor="text" w:hAnchor="margin" w:xAlign="right" w:y="1"/>
      <w:rPr>
        <w:rStyle w:val="PageNumber"/>
        <w:sz w:val="22"/>
      </w:rPr>
    </w:pP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PAGE  </w:instrText>
    </w:r>
    <w:r>
      <w:rPr>
        <w:rStyle w:val="PageNumber"/>
        <w:sz w:val="22"/>
      </w:rPr>
      <w:fldChar w:fldCharType="separate"/>
    </w:r>
    <w:r w:rsidR="005D60F9">
      <w:rPr>
        <w:rStyle w:val="PageNumber"/>
        <w:noProof/>
        <w:sz w:val="22"/>
      </w:rPr>
      <w:t>4</w:t>
    </w:r>
    <w:r>
      <w:rPr>
        <w:rStyle w:val="PageNumber"/>
        <w:sz w:val="22"/>
      </w:rPr>
      <w:fldChar w:fldCharType="end"/>
    </w:r>
  </w:p>
  <w:p w14:paraId="3362C8DD" w14:textId="77777777" w:rsidR="00AE46A5" w:rsidRDefault="00AE46A5">
    <w:pPr>
      <w:pStyle w:val="Footer"/>
      <w:ind w:right="360"/>
      <w:jc w:val="center"/>
      <w:rPr>
        <w:sz w:val="18"/>
        <w:szCs w:val="22"/>
      </w:rPr>
    </w:pPr>
    <w:r>
      <w:rPr>
        <w:sz w:val="18"/>
        <w:szCs w:val="22"/>
      </w:rPr>
      <w:t>Commercial-in-Confidence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0EC79" w14:textId="77777777" w:rsidR="00AE46A5" w:rsidRDefault="00AE46A5">
    <w:pPr>
      <w:pStyle w:val="Footer"/>
      <w:jc w:val="center"/>
      <w:rPr>
        <w:sz w:val="18"/>
      </w:rPr>
    </w:pPr>
    <w:r>
      <w:rPr>
        <w:sz w:val="18"/>
        <w:szCs w:val="22"/>
      </w:rPr>
      <w:t>Commercial-in-Confidence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037EF" w14:textId="77777777" w:rsidR="00565660" w:rsidRDefault="00565660">
      <w:r>
        <w:separator/>
      </w:r>
    </w:p>
  </w:footnote>
  <w:footnote w:type="continuationSeparator" w:id="0">
    <w:p w14:paraId="13060AC6" w14:textId="77777777" w:rsidR="00565660" w:rsidRDefault="00565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3EC54" w14:textId="77777777" w:rsidR="00AE46A5" w:rsidRDefault="00AE46A5" w:rsidP="004D6A9B">
    <w:pPr>
      <w:pStyle w:val="Header"/>
      <w:tabs>
        <w:tab w:val="clear" w:pos="4320"/>
        <w:tab w:val="clear" w:pos="8640"/>
        <w:tab w:val="right" w:pos="9072"/>
      </w:tabs>
      <w:ind w:right="-8"/>
      <w:jc w:val="center"/>
      <w:rPr>
        <w:sz w:val="18"/>
      </w:rPr>
    </w:pPr>
    <w:r>
      <w:rPr>
        <w:sz w:val="18"/>
      </w:rPr>
      <w:t>CV - David Currie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39714" w14:textId="77777777" w:rsidR="00AE46A5" w:rsidRDefault="00AE46A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33D62"/>
    <w:multiLevelType w:val="hybridMultilevel"/>
    <w:tmpl w:val="656C4B6A"/>
    <w:lvl w:ilvl="0" w:tplc="B2B20E2E">
      <w:numFmt w:val="bullet"/>
      <w:lvlText w:val="q"/>
      <w:lvlJc w:val="left"/>
      <w:pPr>
        <w:tabs>
          <w:tab w:val="num" w:pos="705"/>
        </w:tabs>
        <w:ind w:left="705" w:hanging="705"/>
      </w:pPr>
      <w:rPr>
        <w:rFonts w:ascii="Zapf Dingbats" w:eastAsia="Times New Roman" w:hAnsi="Zapf Dingbat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93086"/>
    <w:multiLevelType w:val="hybridMultilevel"/>
    <w:tmpl w:val="8222BB68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color w:val="FF99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41EB3"/>
    <w:multiLevelType w:val="hybridMultilevel"/>
    <w:tmpl w:val="BB9A734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A85741"/>
    <w:multiLevelType w:val="hybridMultilevel"/>
    <w:tmpl w:val="49F6CC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AE23F4"/>
    <w:multiLevelType w:val="hybridMultilevel"/>
    <w:tmpl w:val="07A0DD2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3161070"/>
    <w:multiLevelType w:val="hybridMultilevel"/>
    <w:tmpl w:val="7C42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B2427"/>
    <w:multiLevelType w:val="hybridMultilevel"/>
    <w:tmpl w:val="67280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162DD"/>
    <w:multiLevelType w:val="hybridMultilevel"/>
    <w:tmpl w:val="CADA8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E0F10"/>
    <w:multiLevelType w:val="hybridMultilevel"/>
    <w:tmpl w:val="312A681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51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66"/>
    <w:rsid w:val="000736E7"/>
    <w:rsid w:val="000B7DE3"/>
    <w:rsid w:val="00171108"/>
    <w:rsid w:val="00176C0D"/>
    <w:rsid w:val="001B40D1"/>
    <w:rsid w:val="001E3F46"/>
    <w:rsid w:val="002465E7"/>
    <w:rsid w:val="002D7164"/>
    <w:rsid w:val="002E2929"/>
    <w:rsid w:val="00351527"/>
    <w:rsid w:val="0038192D"/>
    <w:rsid w:val="003B43A4"/>
    <w:rsid w:val="003B4E0A"/>
    <w:rsid w:val="004D6A9B"/>
    <w:rsid w:val="004F1FF8"/>
    <w:rsid w:val="00565660"/>
    <w:rsid w:val="005A3F3A"/>
    <w:rsid w:val="005D60F9"/>
    <w:rsid w:val="0064535C"/>
    <w:rsid w:val="00686D2C"/>
    <w:rsid w:val="006A7EEB"/>
    <w:rsid w:val="006B6499"/>
    <w:rsid w:val="006C18C6"/>
    <w:rsid w:val="006D6566"/>
    <w:rsid w:val="00716266"/>
    <w:rsid w:val="007D0BF5"/>
    <w:rsid w:val="00917778"/>
    <w:rsid w:val="009D630F"/>
    <w:rsid w:val="00AA77F1"/>
    <w:rsid w:val="00AE46A5"/>
    <w:rsid w:val="00B87FBC"/>
    <w:rsid w:val="00C762E1"/>
    <w:rsid w:val="00CA5217"/>
    <w:rsid w:val="00CD47FF"/>
    <w:rsid w:val="00D12EC6"/>
    <w:rsid w:val="00D264B2"/>
    <w:rsid w:val="00DF4CB6"/>
    <w:rsid w:val="00E94DC4"/>
    <w:rsid w:val="00EB0229"/>
    <w:rsid w:val="00EF1AD3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D74EF5"/>
  <w15:chartTrackingRefBased/>
  <w15:docId w15:val="{855959A7-5AF7-4211-A511-244D409A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US" w:eastAsia="en-US"/>
    </w:rPr>
  </w:style>
  <w:style w:type="paragraph" w:styleId="Heading1">
    <w:name w:val="heading 1"/>
    <w:aliases w:val="h1"/>
    <w:basedOn w:val="Normal"/>
    <w:next w:val="Normal"/>
    <w:qFormat/>
    <w:pPr>
      <w:spacing w:before="240"/>
      <w:outlineLvl w:val="0"/>
    </w:pPr>
    <w:rPr>
      <w:rFonts w:ascii="Helvetica" w:hAnsi="Helvetica"/>
      <w:b/>
      <w:bCs/>
      <w:szCs w:val="24"/>
      <w:u w:val="single"/>
    </w:rPr>
  </w:style>
  <w:style w:type="paragraph" w:styleId="Heading2">
    <w:name w:val="heading 2"/>
    <w:aliases w:val="h2"/>
    <w:basedOn w:val="Normal"/>
    <w:next w:val="Normal"/>
    <w:qFormat/>
    <w:pPr>
      <w:spacing w:before="120"/>
      <w:outlineLvl w:val="1"/>
    </w:pPr>
    <w:rPr>
      <w:rFonts w:ascii="Helvetica" w:hAnsi="Helvetica"/>
      <w:b/>
      <w:bCs/>
      <w:szCs w:val="24"/>
    </w:rPr>
  </w:style>
  <w:style w:type="paragraph" w:styleId="Heading3">
    <w:name w:val="heading 3"/>
    <w:basedOn w:val="Normal"/>
    <w:next w:val="Normal"/>
    <w:qFormat/>
    <w:pPr>
      <w:ind w:left="360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qFormat/>
    <w:pPr>
      <w:ind w:right="31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ind w:left="720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ind w:left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pPr>
      <w:ind w:left="720"/>
      <w:outlineLvl w:val="6"/>
    </w:pPr>
    <w:rPr>
      <w:i/>
      <w:iCs/>
      <w:sz w:val="20"/>
    </w:rPr>
  </w:style>
  <w:style w:type="paragraph" w:styleId="Heading8">
    <w:name w:val="heading 8"/>
    <w:basedOn w:val="Normal"/>
    <w:next w:val="Normal"/>
    <w:qFormat/>
    <w:pPr>
      <w:ind w:left="72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qFormat/>
    <w:pPr>
      <w:ind w:left="720"/>
      <w:outlineLvl w:val="8"/>
    </w:pPr>
    <w:rPr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pPr>
      <w:tabs>
        <w:tab w:val="left" w:leader="dot" w:pos="8280"/>
        <w:tab w:val="right" w:pos="8640"/>
      </w:tabs>
      <w:ind w:left="2880" w:right="720"/>
    </w:pPr>
  </w:style>
  <w:style w:type="paragraph" w:styleId="TOC4">
    <w:name w:val="toc 4"/>
    <w:basedOn w:val="Normal"/>
    <w:next w:val="Normal"/>
    <w:semiHidden/>
    <w:pPr>
      <w:tabs>
        <w:tab w:val="left" w:leader="dot" w:pos="8280"/>
        <w:tab w:val="right" w:pos="8640"/>
      </w:tabs>
      <w:ind w:left="2160" w:right="720"/>
    </w:pPr>
  </w:style>
  <w:style w:type="paragraph" w:styleId="TOC3">
    <w:name w:val="toc 3"/>
    <w:basedOn w:val="Normal"/>
    <w:next w:val="Normal"/>
    <w:semiHidden/>
    <w:pPr>
      <w:tabs>
        <w:tab w:val="left" w:leader="dot" w:pos="8280"/>
        <w:tab w:val="right" w:pos="8640"/>
      </w:tabs>
      <w:ind w:left="1440" w:right="720"/>
    </w:pPr>
  </w:style>
  <w:style w:type="paragraph" w:styleId="TOC2">
    <w:name w:val="toc 2"/>
    <w:basedOn w:val="Normal"/>
    <w:next w:val="Normal"/>
    <w:semiHidden/>
    <w:pPr>
      <w:tabs>
        <w:tab w:val="left" w:leader="dot" w:pos="8280"/>
        <w:tab w:val="right" w:pos="8640"/>
      </w:tabs>
      <w:ind w:left="720" w:right="720"/>
    </w:pPr>
  </w:style>
  <w:style w:type="paragraph" w:styleId="TOC1">
    <w:name w:val="toc 1"/>
    <w:basedOn w:val="Normal"/>
    <w:next w:val="Normal"/>
    <w:semiHidden/>
    <w:pPr>
      <w:tabs>
        <w:tab w:val="left" w:leader="dot" w:pos="8280"/>
        <w:tab w:val="right" w:pos="8640"/>
      </w:tabs>
      <w:ind w:right="72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  <w:szCs w:val="16"/>
    </w:rPr>
  </w:style>
  <w:style w:type="paragraph" w:styleId="FootnoteText">
    <w:name w:val="footnote text"/>
    <w:basedOn w:val="Normal"/>
    <w:semiHidden/>
    <w:pPr>
      <w:ind w:right="33"/>
    </w:pPr>
    <w:rPr>
      <w:sz w:val="18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semiHidden/>
    <w:rPr>
      <w:rFonts w:ascii="Times New Roman" w:hAnsi="Times New Roman"/>
      <w:noProof/>
      <w:sz w:val="24"/>
      <w:lang w:eastAsia="en-US"/>
    </w:rPr>
  </w:style>
  <w:style w:type="paragraph" w:customStyle="1" w:styleId="BodySingle">
    <w:name w:val="Body Single"/>
    <w:rPr>
      <w:rFonts w:ascii="Arial" w:hAnsi="Arial"/>
      <w:noProof/>
      <w:lang w:eastAsia="en-US"/>
    </w:rPr>
  </w:style>
  <w:style w:type="paragraph" w:customStyle="1" w:styleId="Single">
    <w:name w:val="Single"/>
    <w:basedOn w:val="Normal"/>
  </w:style>
  <w:style w:type="paragraph" w:customStyle="1" w:styleId="Bullet">
    <w:name w:val="Bullet"/>
    <w:pPr>
      <w:ind w:left="288"/>
    </w:pPr>
    <w:rPr>
      <w:rFonts w:ascii="Times New Roman" w:hAnsi="Times New Roman"/>
      <w:noProof/>
      <w:sz w:val="24"/>
      <w:lang w:eastAsia="en-US"/>
    </w:rPr>
  </w:style>
  <w:style w:type="paragraph" w:customStyle="1" w:styleId="Bullet1">
    <w:name w:val="Bullet 1"/>
    <w:pPr>
      <w:ind w:left="576"/>
    </w:pPr>
    <w:rPr>
      <w:rFonts w:ascii="Times New Roman" w:hAnsi="Times New Roman"/>
      <w:noProof/>
      <w:sz w:val="24"/>
      <w:lang w:eastAsia="en-US"/>
    </w:rPr>
  </w:style>
  <w:style w:type="paragraph" w:customStyle="1" w:styleId="NumberList">
    <w:name w:val="Number List"/>
    <w:pPr>
      <w:ind w:left="720"/>
    </w:pPr>
    <w:rPr>
      <w:rFonts w:ascii="Times New Roman" w:hAnsi="Times New Roman"/>
      <w:noProof/>
      <w:sz w:val="24"/>
      <w:lang w:eastAsia="en-US"/>
    </w:rPr>
  </w:style>
  <w:style w:type="paragraph" w:customStyle="1" w:styleId="Subhead">
    <w:name w:val="Subhead"/>
    <w:pPr>
      <w:spacing w:before="72" w:after="72"/>
    </w:pPr>
    <w:rPr>
      <w:rFonts w:ascii="Times New Roman" w:hAnsi="Times New Roman"/>
      <w:b/>
      <w:i/>
      <w:noProof/>
      <w:sz w:val="24"/>
      <w:lang w:eastAsia="en-US"/>
    </w:rPr>
  </w:style>
  <w:style w:type="paragraph" w:styleId="Title">
    <w:name w:val="Title"/>
    <w:qFormat/>
    <w:pPr>
      <w:spacing w:before="144" w:after="72"/>
      <w:jc w:val="center"/>
    </w:pPr>
    <w:rPr>
      <w:rFonts w:ascii="Arial" w:hAnsi="Arial"/>
      <w:b/>
      <w:noProof/>
      <w:sz w:val="36"/>
      <w:lang w:eastAsia="en-US"/>
    </w:rPr>
  </w:style>
  <w:style w:type="paragraph" w:customStyle="1" w:styleId="Header1">
    <w:name w:val="Header1"/>
    <w:rPr>
      <w:rFonts w:ascii="Times New Roman" w:hAnsi="Times New Roman"/>
      <w:noProof/>
      <w:sz w:val="24"/>
      <w:lang w:eastAsia="en-US"/>
    </w:rPr>
  </w:style>
  <w:style w:type="paragraph" w:customStyle="1" w:styleId="Footer1">
    <w:name w:val="Footer1"/>
    <w:rPr>
      <w:rFonts w:ascii="Times New Roman" w:hAnsi="Times New Roman"/>
      <w:noProof/>
      <w:sz w:val="24"/>
      <w:lang w:eastAsia="en-US"/>
    </w:rPr>
  </w:style>
  <w:style w:type="paragraph" w:customStyle="1" w:styleId="NormalGeneva">
    <w:name w:val="Normal Geneva"/>
    <w:basedOn w:val="Normal"/>
    <w:rPr>
      <w:sz w:val="20"/>
    </w:rPr>
  </w:style>
  <w:style w:type="paragraph" w:customStyle="1" w:styleId="HeadingA">
    <w:name w:val="Heading A"/>
    <w:basedOn w:val="Normal"/>
    <w:rPr>
      <w:b/>
      <w:sz w:val="20"/>
    </w:rPr>
  </w:style>
  <w:style w:type="paragraph" w:customStyle="1" w:styleId="head">
    <w:name w:val="head"/>
    <w:basedOn w:val="Normal"/>
    <w:pPr>
      <w:ind w:right="-273"/>
      <w:jc w:val="center"/>
    </w:pPr>
  </w:style>
  <w:style w:type="paragraph" w:customStyle="1" w:styleId="abc">
    <w:name w:val="(a)(b)(c)"/>
    <w:pPr>
      <w:spacing w:before="120" w:after="120" w:line="360" w:lineRule="atLeast"/>
      <w:ind w:left="1134"/>
      <w:jc w:val="both"/>
    </w:pPr>
    <w:rPr>
      <w:noProof/>
      <w:sz w:val="24"/>
      <w:lang w:eastAsia="en-US"/>
    </w:rPr>
  </w:style>
  <w:style w:type="paragraph" w:customStyle="1" w:styleId="iiiiii">
    <w:name w:val="(i)(ii)(iii)"/>
    <w:pPr>
      <w:spacing w:line="360" w:lineRule="atLeast"/>
      <w:ind w:left="1701"/>
      <w:jc w:val="both"/>
    </w:pPr>
    <w:rPr>
      <w:noProof/>
      <w:sz w:val="24"/>
      <w:lang w:eastAsia="en-US"/>
    </w:rPr>
  </w:style>
  <w:style w:type="paragraph" w:customStyle="1" w:styleId="Footnote">
    <w:name w:val="Footnote"/>
    <w:pPr>
      <w:ind w:left="283" w:firstLine="5"/>
    </w:pPr>
    <w:rPr>
      <w:noProof/>
      <w:lang w:eastAsia="en-US"/>
    </w:rPr>
  </w:style>
  <w:style w:type="paragraph" w:customStyle="1" w:styleId="Outline2">
    <w:name w:val="Outline2"/>
    <w:pPr>
      <w:jc w:val="both"/>
    </w:pPr>
    <w:rPr>
      <w:noProof/>
      <w:sz w:val="24"/>
      <w:lang w:eastAsia="en-US"/>
    </w:rPr>
  </w:style>
  <w:style w:type="paragraph" w:customStyle="1" w:styleId="Outline1">
    <w:name w:val="Outline1"/>
    <w:pPr>
      <w:jc w:val="both"/>
    </w:pPr>
    <w:rPr>
      <w:noProof/>
      <w:sz w:val="24"/>
      <w:lang w:eastAsia="en-US"/>
    </w:rPr>
  </w:style>
  <w:style w:type="paragraph" w:customStyle="1" w:styleId="Outline3">
    <w:name w:val="Outline3"/>
    <w:pPr>
      <w:jc w:val="both"/>
    </w:pPr>
    <w:rPr>
      <w:noProof/>
      <w:sz w:val="24"/>
      <w:lang w:eastAsia="en-US"/>
    </w:rPr>
  </w:style>
  <w:style w:type="paragraph" w:customStyle="1" w:styleId="Outline4">
    <w:name w:val="Outline4"/>
    <w:pPr>
      <w:jc w:val="both"/>
    </w:pPr>
    <w:rPr>
      <w:noProof/>
      <w:sz w:val="24"/>
      <w:lang w:eastAsia="en-US"/>
    </w:rPr>
  </w:style>
  <w:style w:type="paragraph" w:customStyle="1" w:styleId="Outline5">
    <w:name w:val="Outline5"/>
    <w:pPr>
      <w:jc w:val="both"/>
    </w:pPr>
    <w:rPr>
      <w:noProof/>
      <w:sz w:val="24"/>
      <w:lang w:eastAsia="en-US"/>
    </w:rPr>
  </w:style>
  <w:style w:type="paragraph" w:customStyle="1" w:styleId="Quotation">
    <w:name w:val="Quotation"/>
    <w:pPr>
      <w:spacing w:before="120" w:after="120"/>
      <w:ind w:left="1134" w:right="1134"/>
      <w:jc w:val="both"/>
    </w:pPr>
    <w:rPr>
      <w:rFonts w:ascii="Arial" w:hAnsi="Arial"/>
      <w:noProof/>
      <w:sz w:val="24"/>
      <w:lang w:eastAsia="en-US"/>
    </w:rPr>
  </w:style>
  <w:style w:type="paragraph" w:customStyle="1" w:styleId="TableText">
    <w:name w:val="Table Text"/>
    <w:pPr>
      <w:spacing w:line="360" w:lineRule="atLeast"/>
    </w:pPr>
    <w:rPr>
      <w:rFonts w:ascii="Arial" w:hAnsi="Arial"/>
      <w:noProof/>
      <w:sz w:val="24"/>
      <w:lang w:eastAsia="en-US"/>
    </w:rPr>
  </w:style>
  <w:style w:type="paragraph" w:customStyle="1" w:styleId="filenote2">
    <w:name w:val="filenote2"/>
    <w:pPr>
      <w:jc w:val="center"/>
    </w:pPr>
    <w:rPr>
      <w:rFonts w:ascii="Arial" w:hAnsi="Arial"/>
      <w:noProof/>
      <w:sz w:val="24"/>
      <w:lang w:eastAsia="en-US"/>
    </w:rPr>
  </w:style>
  <w:style w:type="paragraph" w:customStyle="1" w:styleId="Courier">
    <w:name w:val="Courier"/>
    <w:basedOn w:val="Normal"/>
    <w:rPr>
      <w:rFonts w:ascii="Geneva" w:hAnsi="Geneva"/>
      <w:sz w:val="18"/>
    </w:rPr>
  </w:style>
  <w:style w:type="paragraph" w:customStyle="1" w:styleId="ABCNumbering">
    <w:name w:val="ABCNumbering"/>
    <w:basedOn w:val="Normal"/>
    <w:pPr>
      <w:tabs>
        <w:tab w:val="left" w:pos="567"/>
      </w:tabs>
      <w:spacing w:before="60" w:after="60" w:line="360" w:lineRule="atLeast"/>
      <w:ind w:left="567" w:hanging="567"/>
    </w:pPr>
  </w:style>
  <w:style w:type="paragraph" w:customStyle="1" w:styleId="caption">
    <w:name w:val="caption"/>
    <w:basedOn w:val="Normal"/>
    <w:pPr>
      <w:spacing w:before="240" w:after="60" w:line="360" w:lineRule="atLeast"/>
      <w:jc w:val="center"/>
    </w:pPr>
    <w:rPr>
      <w:b/>
      <w:sz w:val="32"/>
    </w:rPr>
  </w:style>
  <w:style w:type="paragraph" w:customStyle="1" w:styleId="DeedNumbering">
    <w:name w:val="DeedNumbering"/>
    <w:basedOn w:val="Normal"/>
    <w:pPr>
      <w:tabs>
        <w:tab w:val="left" w:pos="567"/>
      </w:tabs>
      <w:spacing w:before="120" w:after="120" w:line="360" w:lineRule="atLeast"/>
      <w:ind w:left="567" w:hanging="567"/>
    </w:pPr>
  </w:style>
  <w:style w:type="paragraph" w:customStyle="1" w:styleId="NumberingStyle">
    <w:name w:val="NumberingStyle"/>
    <w:pPr>
      <w:tabs>
        <w:tab w:val="left" w:pos="567"/>
      </w:tabs>
      <w:spacing w:line="360" w:lineRule="atLeast"/>
      <w:ind w:left="567" w:hanging="567"/>
    </w:pPr>
    <w:rPr>
      <w:rFonts w:ascii="Arial" w:hAnsi="Arial"/>
      <w:noProof/>
      <w:sz w:val="24"/>
      <w:lang w:eastAsia="en-US"/>
    </w:rPr>
  </w:style>
  <w:style w:type="paragraph" w:styleId="BodyTextIndent">
    <w:name w:val="Body Text Indent"/>
    <w:basedOn w:val="Normal"/>
    <w:semiHidden/>
    <w:pPr>
      <w:spacing w:before="120" w:after="120"/>
    </w:pPr>
    <w:rPr>
      <w:sz w:val="22"/>
    </w:rPr>
  </w:style>
  <w:style w:type="paragraph" w:styleId="BodyText2">
    <w:name w:val="Body Text 2"/>
    <w:basedOn w:val="Normal"/>
    <w:semiHidden/>
    <w:pPr>
      <w:spacing w:before="120" w:after="120"/>
    </w:pPr>
    <w:rPr>
      <w:b/>
      <w:i/>
      <w:sz w:val="22"/>
    </w:rPr>
  </w:style>
  <w:style w:type="paragraph" w:customStyle="1" w:styleId="Parties">
    <w:name w:val="Parties"/>
    <w:basedOn w:val="Single"/>
    <w:pPr>
      <w:spacing w:line="320" w:lineRule="atLeast"/>
    </w:pPr>
    <w:rPr>
      <w:b/>
      <w:caps/>
    </w:rPr>
  </w:style>
  <w:style w:type="paragraph" w:customStyle="1" w:styleId="Parties2">
    <w:name w:val="Parties2"/>
    <w:basedOn w:val="Parties"/>
    <w:pPr>
      <w:ind w:left="3686"/>
    </w:pPr>
  </w:style>
  <w:style w:type="paragraph" w:customStyle="1" w:styleId="Partytitle">
    <w:name w:val="Party title"/>
    <w:basedOn w:val="Parties"/>
    <w:pPr>
      <w:ind w:left="1701"/>
    </w:pPr>
    <w:rPr>
      <w:b w:val="0"/>
    </w:rPr>
  </w:style>
  <w:style w:type="paragraph" w:customStyle="1" w:styleId="Partytitle2">
    <w:name w:val="Partytitle2"/>
    <w:basedOn w:val="Normal"/>
    <w:pPr>
      <w:spacing w:line="320" w:lineRule="atLeast"/>
      <w:ind w:left="5954"/>
    </w:pPr>
  </w:style>
  <w:style w:type="paragraph" w:customStyle="1" w:styleId="Re">
    <w:name w:val="Re"/>
    <w:basedOn w:val="Normal"/>
    <w:rPr>
      <w:b/>
    </w:rPr>
  </w:style>
  <w:style w:type="paragraph" w:customStyle="1" w:styleId="Single11">
    <w:name w:val="Single11"/>
    <w:basedOn w:val="Single"/>
    <w:rPr>
      <w:sz w:val="22"/>
    </w:rPr>
  </w:style>
  <w:style w:type="paragraph" w:styleId="BodyTextIndent2">
    <w:name w:val="Body Text Indent 2"/>
    <w:basedOn w:val="Normal"/>
    <w:semiHidden/>
    <w:pPr>
      <w:spacing w:line="360" w:lineRule="atLeast"/>
      <w:ind w:left="709"/>
    </w:pPr>
  </w:style>
  <w:style w:type="paragraph" w:customStyle="1" w:styleId="listbulletvpb">
    <w:name w:val="listbulletvpb"/>
    <w:basedOn w:val="ListBullet3"/>
    <w:pPr>
      <w:tabs>
        <w:tab w:val="clear" w:pos="360"/>
      </w:tabs>
      <w:spacing w:before="240" w:after="0" w:line="240" w:lineRule="auto"/>
      <w:ind w:left="567"/>
      <w:jc w:val="both"/>
    </w:pPr>
    <w:rPr>
      <w:rFonts w:ascii="Times New Roman" w:hAnsi="Times New Roman"/>
    </w:rPr>
  </w:style>
  <w:style w:type="paragraph" w:styleId="ListBullet3">
    <w:name w:val="List Bullet 3"/>
    <w:basedOn w:val="Normal"/>
    <w:semiHidden/>
    <w:pPr>
      <w:tabs>
        <w:tab w:val="left" w:pos="360"/>
      </w:tabs>
      <w:spacing w:before="120" w:after="120" w:line="360" w:lineRule="atLeast"/>
      <w:ind w:left="360" w:hanging="360"/>
    </w:pPr>
  </w:style>
  <w:style w:type="paragraph" w:styleId="BodyTextIndent3">
    <w:name w:val="Body Text Indent 3"/>
    <w:basedOn w:val="Normal"/>
    <w:semiHidden/>
    <w:pPr>
      <w:ind w:left="1418"/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ind w:right="-20"/>
    </w:pPr>
    <w:rPr>
      <w:sz w:val="22"/>
      <w:lang w:val="en-GB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176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716266"/>
    <w:rPr>
      <w:color w:val="800080"/>
      <w:u w:val="single"/>
    </w:rPr>
  </w:style>
  <w:style w:type="character" w:customStyle="1" w:styleId="public-profile-url">
    <w:name w:val="public-profile-url"/>
    <w:rsid w:val="00716266"/>
  </w:style>
  <w:style w:type="paragraph" w:styleId="ListParagraph">
    <w:name w:val="List Paragraph"/>
    <w:basedOn w:val="Normal"/>
    <w:uiPriority w:val="34"/>
    <w:qFormat/>
    <w:rsid w:val="000736E7"/>
    <w:pPr>
      <w:widowControl w:val="0"/>
      <w:autoSpaceDE w:val="0"/>
      <w:autoSpaceDN w:val="0"/>
      <w:adjustRightInd w:val="0"/>
      <w:ind w:left="720"/>
      <w:contextualSpacing/>
    </w:pPr>
    <w:rPr>
      <w:rFonts w:ascii="Courier" w:hAnsi="Courier"/>
      <w:sz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E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E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9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selborne.com.a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currie@4selborne.com.a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benchtv.com.au/cletv/setting-aside-a-statutory-demand-genuine-disput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.linkedin.com/in/david-currie-b0b19b2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Firm Resume - David Currie</vt:lpstr>
    </vt:vector>
  </TitlesOfParts>
  <Company/>
  <LinksUpToDate>false</LinksUpToDate>
  <CharactersWithSpaces>9488</CharactersWithSpaces>
  <SharedDoc>false</SharedDoc>
  <HLinks>
    <vt:vector size="24" baseType="variant">
      <vt:variant>
        <vt:i4>7995433</vt:i4>
      </vt:variant>
      <vt:variant>
        <vt:i4>9</vt:i4>
      </vt:variant>
      <vt:variant>
        <vt:i4>0</vt:i4>
      </vt:variant>
      <vt:variant>
        <vt:i4>5</vt:i4>
      </vt:variant>
      <vt:variant>
        <vt:lpwstr>https://benchtv.com.au/cletv/setting-aside-a-statutory-demand-genuine-disputes/</vt:lpwstr>
      </vt:variant>
      <vt:variant>
        <vt:lpwstr/>
      </vt:variant>
      <vt:variant>
        <vt:i4>1966083</vt:i4>
      </vt:variant>
      <vt:variant>
        <vt:i4>6</vt:i4>
      </vt:variant>
      <vt:variant>
        <vt:i4>0</vt:i4>
      </vt:variant>
      <vt:variant>
        <vt:i4>5</vt:i4>
      </vt:variant>
      <vt:variant>
        <vt:lpwstr>https://au.linkedin.com/in/david-currie-b0b19b24</vt:lpwstr>
      </vt:variant>
      <vt:variant>
        <vt:lpwstr/>
      </vt:variant>
      <vt:variant>
        <vt:i4>5177428</vt:i4>
      </vt:variant>
      <vt:variant>
        <vt:i4>3</vt:i4>
      </vt:variant>
      <vt:variant>
        <vt:i4>0</vt:i4>
      </vt:variant>
      <vt:variant>
        <vt:i4>5</vt:i4>
      </vt:variant>
      <vt:variant>
        <vt:lpwstr>http://www.4selborne.com.au/</vt:lpwstr>
      </vt:variant>
      <vt:variant>
        <vt:lpwstr/>
      </vt:variant>
      <vt:variant>
        <vt:i4>3080195</vt:i4>
      </vt:variant>
      <vt:variant>
        <vt:i4>0</vt:i4>
      </vt:variant>
      <vt:variant>
        <vt:i4>0</vt:i4>
      </vt:variant>
      <vt:variant>
        <vt:i4>5</vt:i4>
      </vt:variant>
      <vt:variant>
        <vt:lpwstr>mailto:dcurrie@4selborne.com.au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 Resume - David Currie</dc:title>
  <dc:subject/>
  <dc:creator>A</dc:creator>
  <cp:keywords/>
  <cp:lastModifiedBy>David Currie</cp:lastModifiedBy>
  <cp:revision>2</cp:revision>
  <cp:lastPrinted>2009-03-19T04:32:00Z</cp:lastPrinted>
  <dcterms:created xsi:type="dcterms:W3CDTF">2020-11-30T23:47:00Z</dcterms:created>
  <dcterms:modified xsi:type="dcterms:W3CDTF">2020-11-30T23:47:00Z</dcterms:modified>
</cp:coreProperties>
</file>